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EBD2" w14:textId="24D0F291" w:rsidR="5CC9150D" w:rsidRDefault="5CC9150D" w:rsidP="077EC704">
      <w:pPr>
        <w:rPr>
          <w:b/>
          <w:bCs/>
          <w:sz w:val="36"/>
          <w:szCs w:val="36"/>
        </w:rPr>
      </w:pPr>
      <w:r w:rsidRPr="077EC704">
        <w:rPr>
          <w:b/>
          <w:bCs/>
          <w:sz w:val="36"/>
          <w:szCs w:val="36"/>
        </w:rPr>
        <w:t>Spectrum of climates created by clinicians</w:t>
      </w:r>
    </w:p>
    <w:tbl>
      <w:tblPr>
        <w:tblW w:w="93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3600"/>
        <w:gridCol w:w="4225"/>
      </w:tblGrid>
      <w:tr w:rsidR="00763FB0" w14:paraId="3A89DB07" w14:textId="77777777" w:rsidTr="077EC704">
        <w:trPr>
          <w:trHeight w:val="300"/>
        </w:trPr>
        <w:tc>
          <w:tcPr>
            <w:tcW w:w="9345" w:type="dxa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7511" w14:textId="7F1EDD56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Table 1.</w:t>
            </w: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 xml:space="preserve"> A summary meta-narrative from positive deviance and similar qualitative studies that contrast clinician styles stratified by positive </w:t>
            </w:r>
            <w:r w:rsidR="7D4882A6"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versus</w:t>
            </w: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 xml:space="preserve"> other outcomes.</w:t>
            </w: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63FB0" w14:paraId="04D5E9EE" w14:textId="77777777" w:rsidTr="077EC704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FFFFFF" w:themeColor="background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6AD1" w14:textId="77777777" w:rsidR="00763FB0" w:rsidRDefault="00763F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Setting </w:t>
            </w: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2B483" w14:textId="77777777" w:rsidR="00763FB0" w:rsidRDefault="00763F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Positive outcomes*</w:t>
            </w: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3BE3C" w14:textId="77777777" w:rsidR="00763FB0" w:rsidRDefault="00763F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Other outcomes*</w:t>
            </w: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63FB0" w14:paraId="4BC7165D" w14:textId="77777777" w:rsidTr="00C80CD3">
        <w:trPr>
          <w:trHeight w:val="30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BF2AE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Collaborative work</w:t>
            </w: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9BEED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“Passion on the part of physician leaders to continually hit that mark and for the best outcomes…”</w:t>
            </w:r>
            <w:r w:rsidRPr="077EC704">
              <w:rPr>
                <w:rStyle w:val="contentpasted1"/>
                <w:rFonts w:ascii="Calibri" w:hAnsi="Calibri" w:cs="Calibri"/>
                <w:color w:val="000000" w:themeColor="text1"/>
                <w:vertAlign w:val="superscript"/>
              </w:rPr>
              <w:t>1 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E4909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 xml:space="preserve">“Physician presence in championing…quality improvement efforts </w:t>
            </w:r>
            <w:proofErr w:type="gramStart"/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was</w:t>
            </w:r>
            <w:proofErr w:type="gramEnd"/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 xml:space="preserve"> weak”</w:t>
            </w:r>
            <w:r w:rsidRPr="077EC704">
              <w:rPr>
                <w:rStyle w:val="contentpasted1"/>
                <w:rFonts w:ascii="Calibri" w:hAnsi="Calibri" w:cs="Calibri"/>
                <w:color w:val="000000" w:themeColor="text1"/>
                <w:vertAlign w:val="superscript"/>
              </w:rPr>
              <w:t>1 </w:t>
            </w:r>
          </w:p>
          <w:p w14:paraId="2C04CE4A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“[T]here’s not enough physician leadership on the committee”</w:t>
            </w:r>
            <w:r w:rsidRPr="077EC704">
              <w:rPr>
                <w:rStyle w:val="contentpasted1"/>
                <w:rFonts w:ascii="Calibri" w:hAnsi="Calibri" w:cs="Calibri"/>
                <w:color w:val="000000" w:themeColor="text1"/>
                <w:vertAlign w:val="superscript"/>
              </w:rPr>
              <w:t>1 </w:t>
            </w:r>
          </w:p>
          <w:p w14:paraId="4F6AB5A3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 xml:space="preserve">“You should </w:t>
            </w:r>
            <w:proofErr w:type="gramStart"/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remember:</w:t>
            </w:r>
            <w:proofErr w:type="gramEnd"/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 xml:space="preserve"> I don't care about any patients but mine”</w:t>
            </w:r>
            <w:r w:rsidRPr="077EC704"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  <w:vertAlign w:val="superscript"/>
              </w:rPr>
              <w:t>2</w:t>
            </w:r>
            <w:r w:rsidRPr="077EC704">
              <w:rPr>
                <w:rFonts w:ascii="Calibri" w:hAnsi="Calibri" w:cs="Calibri"/>
                <w:color w:val="000000"/>
                <w:vertAlign w:val="superscript"/>
              </w:rPr>
              <w:t> </w:t>
            </w:r>
          </w:p>
        </w:tc>
      </w:tr>
      <w:tr w:rsidR="00763FB0" w14:paraId="42722CDE" w14:textId="77777777" w:rsidTr="003C5D19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2271F" w14:textId="65198FF6" w:rsidR="36DA20AB" w:rsidRPr="077EC704" w:rsidRDefault="36DA20AB" w:rsidP="003C5D19">
            <w:pPr>
              <w:rPr>
                <w:rStyle w:val="contentpasted1"/>
                <w:rFonts w:ascii="Calibri" w:hAnsi="Calibri" w:cs="Calibri"/>
                <w:b/>
                <w:bCs/>
                <w:color w:val="000000" w:themeColor="text1"/>
              </w:rPr>
            </w:pPr>
            <w:r w:rsidRPr="00C80CD3">
              <w:rPr>
                <w:rStyle w:val="contentpasted1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Clinical work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9D19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 xml:space="preserve">“…Nurses know that they are 100% supported, all the way up to the top of the organization, that they are empowered to call rapids </w:t>
            </w:r>
            <w:proofErr w:type="gramStart"/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regardless</w:t>
            </w:r>
            <w:proofErr w:type="gramEnd"/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 xml:space="preserve"> if they’re being told not to call a rapid [response]…” </w:t>
            </w:r>
            <w:r w:rsidRPr="077EC704">
              <w:rPr>
                <w:rStyle w:val="contentpasted1"/>
                <w:rFonts w:ascii="Calibri" w:hAnsi="Calibri" w:cs="Calibri"/>
                <w:color w:val="000000" w:themeColor="text1"/>
                <w:vertAlign w:val="superscript"/>
              </w:rPr>
              <w:t>4</w:t>
            </w:r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F8F1C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“…A lot of them are afraid to call the physician. So sometimes the physician would be angry that they called a rapid response…”</w:t>
            </w:r>
            <w:r w:rsidRPr="077EC704">
              <w:rPr>
                <w:rStyle w:val="contentpasted1"/>
                <w:rFonts w:ascii="Calibri" w:hAnsi="Calibri" w:cs="Calibri"/>
                <w:color w:val="000000" w:themeColor="text1"/>
                <w:vertAlign w:val="superscript"/>
              </w:rPr>
              <w:t>4 </w:t>
            </w:r>
          </w:p>
        </w:tc>
      </w:tr>
      <w:tr w:rsidR="00763FB0" w14:paraId="42AEE32D" w14:textId="77777777" w:rsidTr="00C80C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018B1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0230" w14:textId="77777777" w:rsidR="00763FB0" w:rsidRDefault="00763FB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“I told her [a student accompanying a transformational surgeon] she’d have the best case of the day out of all the students”</w:t>
            </w:r>
            <w:r w:rsidRPr="077EC704">
              <w:rPr>
                <w:rStyle w:val="contentpasted1"/>
                <w:rFonts w:ascii="Calibri" w:hAnsi="Calibri" w:cs="Calibri"/>
                <w:color w:val="000000" w:themeColor="text1"/>
                <w:vertAlign w:val="superscript"/>
              </w:rPr>
              <w:t>2 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B4A4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  <w:t>“I gave you orders, and what are you calling me again for?”</w:t>
            </w:r>
            <w:r w:rsidRPr="077EC704">
              <w:rPr>
                <w:rStyle w:val="contentpasted1"/>
                <w:rFonts w:ascii="Calibri" w:hAnsi="Calibri" w:cs="Calibri"/>
                <w:color w:val="000000" w:themeColor="text1"/>
                <w:vertAlign w:val="superscript"/>
              </w:rPr>
              <w:t>1 </w:t>
            </w:r>
          </w:p>
        </w:tc>
      </w:tr>
      <w:tr w:rsidR="00763FB0" w14:paraId="1E28E8B2" w14:textId="77777777" w:rsidTr="00C80C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6B681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459E5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“Clinicians frequently discuss difficult cases to solicit the opinions and insights of their colleagues.”</w:t>
            </w:r>
            <w:r w:rsidRPr="077EC704">
              <w:rPr>
                <w:rStyle w:val="contentpasted1"/>
                <w:rFonts w:ascii="Calibri" w:hAnsi="Calibri" w:cs="Calibri"/>
                <w:color w:val="000000" w:themeColor="text1"/>
                <w:vertAlign w:val="superscript"/>
              </w:rPr>
              <w:t>3 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95060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“</w:t>
            </w:r>
            <w:proofErr w:type="gramStart"/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providers</w:t>
            </w:r>
            <w:proofErr w:type="gramEnd"/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...tended to practice without the benefit of their colleagues’ opinions.”</w:t>
            </w:r>
            <w:r w:rsidRPr="077EC704">
              <w:rPr>
                <w:rStyle w:val="contentpasted1"/>
                <w:rFonts w:ascii="Calibri" w:hAnsi="Calibri" w:cs="Calibri"/>
                <w:color w:val="000000" w:themeColor="text1"/>
                <w:vertAlign w:val="superscript"/>
              </w:rPr>
              <w:t>3</w:t>
            </w: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 </w:t>
            </w:r>
            <w:r>
              <w:rPr>
                <w:rFonts w:ascii="Calibri" w:hAnsi="Calibri" w:cs="Calibri"/>
                <w:color w:val="000000"/>
              </w:rPr>
              <w:t> </w:t>
            </w:r>
          </w:p>
          <w:p w14:paraId="1AED56D5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763FB0" w14:paraId="368F4636" w14:textId="77777777" w:rsidTr="077EC704">
        <w:trPr>
          <w:trHeight w:val="300"/>
        </w:trPr>
        <w:tc>
          <w:tcPr>
            <w:tcW w:w="9345" w:type="dxa"/>
            <w:gridSpan w:val="3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3BACD" w14:textId="77777777" w:rsidR="00763FB0" w:rsidRDefault="00763FB0">
            <w:pPr>
              <w:rPr>
                <w:rFonts w:ascii="Calibri" w:hAnsi="Calibri" w:cs="Calibri"/>
                <w:color w:val="000000"/>
              </w:rPr>
            </w:pPr>
            <w:r>
              <w:rPr>
                <w:rStyle w:val="contentpasted1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References: </w:t>
            </w:r>
          </w:p>
          <w:p w14:paraId="4CD1FE8C" w14:textId="150BB16E" w:rsidR="00763FB0" w:rsidRPr="00C6657D" w:rsidRDefault="00763FB0">
            <w:pPr>
              <w:pStyle w:val="Bibliography"/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bdr w:val="none" w:sz="0" w:space="0" w:color="auto" w:frame="1"/>
              </w:rPr>
              <w:t>1</w:t>
            </w:r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. Curry LA,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Spatz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E, Cherlin E, Thompson JW, Berg D, Ting HH, Decker C,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Krumholz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HM, Bradley EH. What distinguishes top-performing hospitals in acute myocardial infarction mortality rates? A qualitative study. Ann Intern Med. 2011 PMCID: PMC4735872 </w:t>
            </w:r>
          </w:p>
          <w:p w14:paraId="2F1F23EA" w14:textId="7CA27C95" w:rsidR="00763FB0" w:rsidRPr="00C6657D" w:rsidRDefault="00E56117">
            <w:pPr>
              <w:pStyle w:val="Bibliography"/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2. </w:t>
            </w:r>
            <w:r w:rsidR="00763FB0"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Hu YY, Parker SH, Lipsitz SR, Arriaga AF, </w:t>
            </w:r>
            <w:proofErr w:type="spellStart"/>
            <w:r w:rsidR="00763FB0"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Peyre</w:t>
            </w:r>
            <w:proofErr w:type="spellEnd"/>
            <w:r w:rsidR="00763FB0"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SE, Corso KA, Roth EM, Yule SJ, Greenberg CC. Surgeons’ Leadership Styles and Team Behavior in the Operating Room. J Am Coll Surg. 2016 PMCID: PMC4769879 </w:t>
            </w:r>
          </w:p>
          <w:p w14:paraId="58B1A6CA" w14:textId="0B63C499" w:rsidR="00763FB0" w:rsidRPr="00C6657D" w:rsidRDefault="00763FB0">
            <w:pPr>
              <w:pStyle w:val="Bibliography"/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3. Rose AJ, Petrakis BA, Callahan P,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Mambourg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S, Patel D,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Hylek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EM,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Bokhour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BG. Organizational characteristics of high- and low-performing anticoagulation clinics in the Veterans Health Administration. Health Serv Res. 2012 PMCID: PMC3401398 </w:t>
            </w:r>
          </w:p>
          <w:p w14:paraId="5A030859" w14:textId="0092661B" w:rsidR="005F5E56" w:rsidRDefault="00763FB0" w:rsidP="005F5E56">
            <w:pPr>
              <w:pStyle w:val="Bibliography"/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4. Dukes K, Bunch JL, Chan PS,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Guetterman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TC,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Lehrich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JL,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Trumpower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B, Harrod M,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Krein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SL, Kellenberg JE, Reisinger HS,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Kronick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SL,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Iwashyna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TJ,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Nallamothu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BK, </w:t>
            </w:r>
            <w:proofErr w:type="spellStart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>Girotra</w:t>
            </w:r>
            <w:proofErr w:type="spellEnd"/>
            <w:r w:rsidRPr="00C6657D">
              <w:rPr>
                <w:rStyle w:val="contentpasted1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</w:rPr>
              <w:t xml:space="preserve"> S. Assessment of Rapid Response Teams at Top-Performing Hospitals for In-Hospital Cardiac Arrest. JAMA Intern Med. 2019 PMCID: PMC6664378</w:t>
            </w:r>
            <w:r w:rsidRPr="00C6657D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  <w:p w14:paraId="3A3C27EC" w14:textId="77777777" w:rsidR="005F5E56" w:rsidRDefault="005F5E56" w:rsidP="005F5E56">
            <w:pPr>
              <w:pStyle w:val="Bibliography"/>
              <w:spacing w:after="0"/>
            </w:pPr>
          </w:p>
          <w:p w14:paraId="7773619D" w14:textId="77777777" w:rsidR="00ED439E" w:rsidRDefault="2997ED14" w:rsidP="00E52AC3">
            <w:pPr>
              <w:pStyle w:val="Bibliography"/>
              <w:spacing w:after="0"/>
              <w:rPr>
                <w:rStyle w:val="Hyperlink"/>
              </w:rPr>
            </w:pPr>
            <w:r>
              <w:t xml:space="preserve">This file originated from </w:t>
            </w:r>
            <w:hyperlink r:id="rId5">
              <w:r w:rsidRPr="077EC704">
                <w:rPr>
                  <w:rStyle w:val="Hyperlink"/>
                </w:rPr>
                <w:t>https://ebmgt.github.io/clinician_culture/</w:t>
              </w:r>
            </w:hyperlink>
          </w:p>
          <w:p w14:paraId="439E9A39" w14:textId="51A9BAE2" w:rsidR="00E52AC3" w:rsidRPr="00E52AC3" w:rsidRDefault="00E52AC3" w:rsidP="00E52AC3">
            <w:pPr>
              <w:pStyle w:val="Bibliography"/>
              <w:spacing w:after="0"/>
            </w:pPr>
            <w:hyperlink r:id="rId6">
              <w:r w:rsidRPr="077EC704">
                <w:rPr>
                  <w:rStyle w:val="Hyperlink"/>
                </w:rPr>
                <w:t>Creative Commons Attribution-</w:t>
              </w:r>
              <w:proofErr w:type="spellStart"/>
              <w:r w:rsidRPr="077EC704">
                <w:rPr>
                  <w:rStyle w:val="Hyperlink"/>
                </w:rPr>
                <w:t>NonCommercial</w:t>
              </w:r>
              <w:proofErr w:type="spellEnd"/>
              <w:r w:rsidRPr="077EC704">
                <w:rPr>
                  <w:rStyle w:val="Hyperlink"/>
                </w:rPr>
                <w:t xml:space="preserve"> 4.0 International (CC BY-NC 4.0)</w:t>
              </w:r>
            </w:hyperlink>
          </w:p>
        </w:tc>
      </w:tr>
    </w:tbl>
    <w:p w14:paraId="1ED64E5D" w14:textId="7D358239" w:rsidR="58F38309" w:rsidRDefault="58F38309" w:rsidP="006C5198">
      <w:pPr>
        <w:spacing w:line="257" w:lineRule="auto"/>
      </w:pPr>
    </w:p>
    <w:sectPr w:rsidR="58F38309" w:rsidSect="00ED43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3MDM0M7IwNbE0sTBR0lEKTi0uzszPAykwqQUA3x4knCwAAAA="/>
  </w:docVars>
  <w:rsids>
    <w:rsidRoot w:val="07DC7D1A"/>
    <w:rsid w:val="00173428"/>
    <w:rsid w:val="001F098E"/>
    <w:rsid w:val="00303774"/>
    <w:rsid w:val="00361F3C"/>
    <w:rsid w:val="00386A42"/>
    <w:rsid w:val="003C5D19"/>
    <w:rsid w:val="004775BA"/>
    <w:rsid w:val="004900C2"/>
    <w:rsid w:val="00493F06"/>
    <w:rsid w:val="004E53AE"/>
    <w:rsid w:val="0050692F"/>
    <w:rsid w:val="005B0F09"/>
    <w:rsid w:val="005E36CD"/>
    <w:rsid w:val="005F5E56"/>
    <w:rsid w:val="00645597"/>
    <w:rsid w:val="006C5198"/>
    <w:rsid w:val="006D4231"/>
    <w:rsid w:val="00716605"/>
    <w:rsid w:val="007558A9"/>
    <w:rsid w:val="007618C1"/>
    <w:rsid w:val="00763FB0"/>
    <w:rsid w:val="007A0C6A"/>
    <w:rsid w:val="008551F7"/>
    <w:rsid w:val="008C7D35"/>
    <w:rsid w:val="00901D41"/>
    <w:rsid w:val="009228E1"/>
    <w:rsid w:val="00934157"/>
    <w:rsid w:val="009E1C1C"/>
    <w:rsid w:val="00A179A3"/>
    <w:rsid w:val="00A47CAC"/>
    <w:rsid w:val="00A50ED0"/>
    <w:rsid w:val="00A81CEA"/>
    <w:rsid w:val="00A85B15"/>
    <w:rsid w:val="00B278E9"/>
    <w:rsid w:val="00B362DE"/>
    <w:rsid w:val="00B60319"/>
    <w:rsid w:val="00BD340C"/>
    <w:rsid w:val="00BD79DB"/>
    <w:rsid w:val="00C33E39"/>
    <w:rsid w:val="00C6657D"/>
    <w:rsid w:val="00C80CD3"/>
    <w:rsid w:val="00CB0876"/>
    <w:rsid w:val="00D00B85"/>
    <w:rsid w:val="00DA6E2E"/>
    <w:rsid w:val="00DC0123"/>
    <w:rsid w:val="00E52AC3"/>
    <w:rsid w:val="00E56117"/>
    <w:rsid w:val="00E84FB1"/>
    <w:rsid w:val="00ED439E"/>
    <w:rsid w:val="00ED7159"/>
    <w:rsid w:val="00F87A48"/>
    <w:rsid w:val="00FC0CF2"/>
    <w:rsid w:val="01CAA867"/>
    <w:rsid w:val="02645B21"/>
    <w:rsid w:val="035A36BB"/>
    <w:rsid w:val="06A8E733"/>
    <w:rsid w:val="077EC704"/>
    <w:rsid w:val="07DC7D1A"/>
    <w:rsid w:val="091A9765"/>
    <w:rsid w:val="0F50F611"/>
    <w:rsid w:val="106937A6"/>
    <w:rsid w:val="127D24B6"/>
    <w:rsid w:val="15DA6BCC"/>
    <w:rsid w:val="15FABB15"/>
    <w:rsid w:val="16D8792A"/>
    <w:rsid w:val="1A2D665F"/>
    <w:rsid w:val="23B95491"/>
    <w:rsid w:val="2472A355"/>
    <w:rsid w:val="254E086C"/>
    <w:rsid w:val="26E9D8CD"/>
    <w:rsid w:val="2885A92E"/>
    <w:rsid w:val="2997ED14"/>
    <w:rsid w:val="35232000"/>
    <w:rsid w:val="36DA20AB"/>
    <w:rsid w:val="36F3E561"/>
    <w:rsid w:val="40FF693F"/>
    <w:rsid w:val="4329FB81"/>
    <w:rsid w:val="44894C30"/>
    <w:rsid w:val="44D46DD1"/>
    <w:rsid w:val="464D4B02"/>
    <w:rsid w:val="495B62BD"/>
    <w:rsid w:val="4CB3E166"/>
    <w:rsid w:val="4F6A1703"/>
    <w:rsid w:val="5228DC26"/>
    <w:rsid w:val="55D0AD67"/>
    <w:rsid w:val="58F38309"/>
    <w:rsid w:val="5CC9150D"/>
    <w:rsid w:val="613452D0"/>
    <w:rsid w:val="61EFC25D"/>
    <w:rsid w:val="6417B54E"/>
    <w:rsid w:val="65B385AF"/>
    <w:rsid w:val="6A86F6D2"/>
    <w:rsid w:val="6B7F5F43"/>
    <w:rsid w:val="6BF4C7F9"/>
    <w:rsid w:val="71450325"/>
    <w:rsid w:val="7D4882A6"/>
    <w:rsid w:val="7E1CDE7A"/>
    <w:rsid w:val="7E8C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7D1A"/>
  <w15:chartTrackingRefBased/>
  <w15:docId w15:val="{CAF872F4-8F72-498A-B769-660D2CDA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73428"/>
  </w:style>
  <w:style w:type="character" w:styleId="Hyperlink">
    <w:name w:val="Hyperlink"/>
    <w:basedOn w:val="DefaultParagraphFont"/>
    <w:uiPriority w:val="99"/>
    <w:unhideWhenUsed/>
    <w:rsid w:val="00BD340C"/>
    <w:rPr>
      <w:color w:val="0563C1" w:themeColor="hyperlink"/>
      <w:u w:val="single"/>
    </w:rPr>
  </w:style>
  <w:style w:type="character" w:customStyle="1" w:styleId="contentpasted1">
    <w:name w:val="contentpasted1"/>
    <w:basedOn w:val="DefaultParagraphFont"/>
    <w:rsid w:val="00763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nc/4.0/" TargetMode="External"/><Relationship Id="rId5" Type="http://schemas.openxmlformats.org/officeDocument/2006/relationships/hyperlink" Target="https://ebmgt.github.io/clinician_cul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Badgett</dc:creator>
  <cp:keywords/>
  <dc:description/>
  <cp:lastModifiedBy>Robert Badgett</cp:lastModifiedBy>
  <cp:revision>2</cp:revision>
  <cp:lastPrinted>2023-04-11T00:49:00Z</cp:lastPrinted>
  <dcterms:created xsi:type="dcterms:W3CDTF">2023-04-14T15:19:00Z</dcterms:created>
  <dcterms:modified xsi:type="dcterms:W3CDTF">2023-04-14T15:19:00Z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id="L9Mx60yq"/&gt;&lt;style id="http://www.zotero.org/styles/national-library-of-medicine-grant-proposals" hasBibliography="1" bibliographyStyleHasBeenSet="1"/&gt;&lt;prefs&gt;&lt;pref name="fieldType" value="Field"/&gt;</vt:lpwstr>
  </property>
  <property fmtid="{D5CDD505-2E9C-101B-9397-08002B2CF9AE}" pid="3" name="ZOTERO_PREF_2">
    <vt:lpwstr>&lt;pref name="automaticJournalAbbreviations" value="true"/&gt;&lt;/prefs&gt;&lt;/data&gt;</vt:lpwstr>
  </property>
</Properties>
</file>