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F5FB3"/>
          <w:sz w:val="40"/>
          <w:szCs w:val="40"/>
        </w:rPr>
        <w:t xml:space="preserve">NovaTech Revenue Intelligence Dashboard</w:t>
      </w:r>
    </w:p>
    <w:p>
      <w:pPr>
        <w:spacing w:after="40"/>
        <w:jc w:val="center"/>
      </w:pPr>
      <w:r>
        <w:rPr>
          <w:i/>
          <w:iCs/>
          <w:color w:val="666666"/>
          <w:sz w:val="26"/>
          <w:szCs w:val="26"/>
        </w:rPr>
        <w:t xml:space="preserve">BI Analyst Capstone Project Report</w:t>
      </w:r>
    </w:p>
    <w:p>
      <w:pPr>
        <w:pBdr>
          <w:bottom w:val="single" w:color="2F5FB3" w:sz="6" w:space="8"/>
        </w:pBdr>
        <w:spacing w:after="300"/>
        <w:jc w:val="center"/>
      </w:pPr>
      <w:r>
        <w:rPr>
          <w:color w:val="666666"/>
          <w:sz w:val="19"/>
          <w:szCs w:val="19"/>
        </w:rPr>
        <w:t xml:space="preserve">Prepared by: Wysk  |  September 2026  |  Built in AWS QuickSight (Amazon Quick), UdacityQuicksightLab</w:t>
      </w:r>
    </w:p>
    <w:p>
      <w:pPr>
        <w:pStyle w:val="Heading1"/>
        <w:spacing w:after="140" w:before="320"/>
      </w:pPr>
      <w:r>
        <w:t xml:space="preserve">1. Project Overview</w:t>
      </w:r>
    </w:p>
    <w:p>
      <w:pPr>
        <w:spacing w:after="120"/>
        <w:jc w:val="both"/>
      </w:pPr>
      <w:r>
        <w:rPr>
          <w:color w:val="222222"/>
          <w:sz w:val="21"/>
          <w:szCs w:val="21"/>
        </w:rPr>
        <w:t xml:space="preserve">NovaTech Solutions is a mid-sized B2B software company (Austin, TX; ~200 employees; ~$50M annual revenue; 85 active accounts) selling two product lines, NovaPulse and NovaEdge, through 30 sales reps across 3 regions. Its Marketing, Sales, and Customer Support teams each run on separate systems, so Sarah Chen, VP of Revenue, has no single view of the customer lifecycle — from a marketing campaign, to a closed deal, to the support tickets that follow. This project builds a Revenue Intelligence Dashboard in AWS QuickSight that unifies all three systems behind one join key (account_id) and layers a natural-language query tool (Amazon Q) on top, so the Revenue team can both browse curated visuals and ask ad-hoc business questions in plain English.</w:t>
      </w:r>
    </w:p>
    <w:p>
      <w:pPr>
        <w:spacing w:after="120"/>
        <w:jc w:val="both"/>
      </w:pPr>
      <w:r>
        <w:rPr>
          <w:color w:val="222222"/>
          <w:sz w:val="21"/>
          <w:szCs w:val="21"/>
        </w:rPr>
        <w:t xml:space="preserve">The deliverable is a 3-sheet dashboard — Marketing Funnel, Sales Pipeline, and Customer Health — with cross-page filters and account-level drill-down, an Amazon Q Topic configured over the same unified data model, and this report, which documents the data verification process, design decisions, natural-language exploration results, and the business insights that came out of building it.</w:t>
      </w:r>
    </w:p>
    <w:p>
      <w:pPr>
        <w:pStyle w:val="Heading1"/>
        <w:spacing w:after="140" w:before="320"/>
      </w:pPr>
      <w:r>
        <w:t xml:space="preserve">2. Data Sources and Verification</w:t>
      </w:r>
    </w:p>
    <w:p>
      <w:pPr>
        <w:spacing w:after="120"/>
        <w:jc w:val="both"/>
      </w:pPr>
      <w:r>
        <w:rPr>
          <w:color w:val="222222"/>
          <w:sz w:val="21"/>
          <w:szCs w:val="21"/>
        </w:rPr>
        <w:t xml:space="preserve">Three CSV datasets were loaded into QuickSight as SPICE datasets and joined entirely through the shared account_id field: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800"/>
      </w:tblGrid>
      <w:tr>
        <w:trPr>
          <w:tblHeader/>
        </w:trPr>
        <w:tc>
          <w:tcPr>
            <w:tcW w:type="dxa" w:w="3400"/>
            <w:shd w:fill="2F5FB3" w:val="clear"/>
            <w:tcMar>
              <w:top w:type="dxa" w:w="60"/>
              <w:left w:type="dxa" w:w="100"/>
              <w:bottom w:type="dxa" w:w="60"/>
              <w:right w:type="dxa" w:w="100"/>
            </w:tcMar>
          </w:tcPr>
          <w:p>
            <w:pPr>
              <w:jc w:val="left"/>
            </w:pPr>
            <w:r>
              <w:rPr>
                <w:b/>
                <w:bCs/>
                <w:color w:val="FFFFFF"/>
                <w:sz w:val="18"/>
                <w:szCs w:val="18"/>
              </w:rPr>
              <w:t xml:space="preserve">Dataset</w:t>
            </w:r>
          </w:p>
        </w:tc>
        <w:tc>
          <w:tcPr>
            <w:tcW w:type="dxa" w:w="2400"/>
            <w:shd w:fill="2F5FB3" w:val="clear"/>
            <w:tcMar>
              <w:top w:type="dxa" w:w="60"/>
              <w:left w:type="dxa" w:w="100"/>
              <w:bottom w:type="dxa" w:w="60"/>
              <w:right w:type="dxa" w:w="100"/>
            </w:tcMar>
          </w:tcPr>
          <w:p>
            <w:pPr>
              <w:jc w:val="left"/>
            </w:pPr>
            <w:r>
              <w:rPr>
                <w:b/>
                <w:bCs/>
                <w:color w:val="FFFFFF"/>
                <w:sz w:val="18"/>
                <w:szCs w:val="18"/>
              </w:rPr>
              <w:t xml:space="preserve">Rows / Columns</w:t>
            </w:r>
          </w:p>
        </w:tc>
        <w:tc>
          <w:tcPr>
            <w:tcW w:type="dxa" w:w="3800"/>
            <w:shd w:fill="2F5FB3" w:val="clear"/>
            <w:tcMar>
              <w:top w:type="dxa" w:w="60"/>
              <w:left w:type="dxa" w:w="100"/>
              <w:bottom w:type="dxa" w:w="60"/>
              <w:right w:type="dxa" w:w="100"/>
            </w:tcMar>
          </w:tcPr>
          <w:p>
            <w:pPr>
              <w:jc w:val="left"/>
            </w:pPr>
            <w:r>
              <w:rPr>
                <w:b/>
                <w:bCs/>
                <w:color w:val="FFFFFF"/>
                <w:sz w:val="18"/>
                <w:szCs w:val="18"/>
              </w:rPr>
              <w:t xml:space="preserve">Role</w:t>
            </w:r>
          </w:p>
        </w:tc>
      </w:tr>
      <w:tr>
        <w:tc>
          <w:tcPr>
            <w:tcW w:type="dxa" w:w="3400"/>
            <w:tcMar>
              <w:top w:type="dxa" w:w="60"/>
              <w:left w:type="dxa" w:w="100"/>
              <w:bottom w:type="dxa" w:w="60"/>
              <w:right w:type="dxa" w:w="100"/>
            </w:tcMar>
          </w:tcPr>
          <w:p>
            <w:pPr>
              <w:jc w:val="left"/>
            </w:pPr>
            <w:r>
              <w:rPr>
                <w:b w:val="false"/>
                <w:bCs w:val="false"/>
                <w:color w:val="222222"/>
                <w:sz w:val="18"/>
                <w:szCs w:val="18"/>
              </w:rPr>
              <w:t xml:space="preserve">novatech_crm_deals.csv</w:t>
            </w:r>
          </w:p>
        </w:tc>
        <w:tc>
          <w:tcPr>
            <w:tcW w:type="dxa" w:w="2400"/>
            <w:tcMar>
              <w:top w:type="dxa" w:w="60"/>
              <w:left w:type="dxa" w:w="100"/>
              <w:bottom w:type="dxa" w:w="60"/>
              <w:right w:type="dxa" w:w="100"/>
            </w:tcMar>
          </w:tcPr>
          <w:p>
            <w:pPr>
              <w:jc w:val="left"/>
            </w:pPr>
            <w:r>
              <w:rPr>
                <w:b w:val="false"/>
                <w:bCs w:val="false"/>
                <w:color w:val="222222"/>
                <w:sz w:val="18"/>
                <w:szCs w:val="18"/>
              </w:rPr>
              <w:t xml:space="preserve">499 rows / 20 cols</w:t>
            </w:r>
          </w:p>
        </w:tc>
        <w:tc>
          <w:tcPr>
            <w:tcW w:type="dxa" w:w="3800"/>
            <w:tcMar>
              <w:top w:type="dxa" w:w="60"/>
              <w:left w:type="dxa" w:w="100"/>
              <w:bottom w:type="dxa" w:w="60"/>
              <w:right w:type="dxa" w:w="100"/>
            </w:tcMar>
          </w:tcPr>
          <w:p>
            <w:pPr>
              <w:jc w:val="left"/>
            </w:pPr>
            <w:r>
              <w:rPr>
                <w:b w:val="false"/>
                <w:bCs w:val="false"/>
                <w:color w:val="222222"/>
                <w:sz w:val="18"/>
                <w:szCs w:val="18"/>
              </w:rPr>
              <w:t xml:space="preserve">Deal stage, revenue, product, sales rep/region, company size</w:t>
            </w:r>
          </w:p>
        </w:tc>
      </w:tr>
      <w:tr>
        <w:tc>
          <w:tcPr>
            <w:tcW w:type="dxa" w:w="3400"/>
            <w:shd w:fill="EEF2FA" w:val="clear"/>
            <w:tcMar>
              <w:top w:type="dxa" w:w="60"/>
              <w:left w:type="dxa" w:w="100"/>
              <w:bottom w:type="dxa" w:w="60"/>
              <w:right w:type="dxa" w:w="100"/>
            </w:tcMar>
          </w:tcPr>
          <w:p>
            <w:pPr>
              <w:jc w:val="left"/>
            </w:pPr>
            <w:r>
              <w:rPr>
                <w:b w:val="false"/>
                <w:bCs w:val="false"/>
                <w:color w:val="222222"/>
                <w:sz w:val="18"/>
                <w:szCs w:val="18"/>
              </w:rPr>
              <w:t xml:space="preserve">novatech_marketing_campaigns.csv</w:t>
            </w:r>
          </w:p>
        </w:tc>
        <w:tc>
          <w:tcPr>
            <w:tcW w:type="dxa" w:w="2400"/>
            <w:shd w:fill="EEF2FA" w:val="clear"/>
            <w:tcMar>
              <w:top w:type="dxa" w:w="60"/>
              <w:left w:type="dxa" w:w="100"/>
              <w:bottom w:type="dxa" w:w="60"/>
              <w:right w:type="dxa" w:w="100"/>
            </w:tcMar>
          </w:tcPr>
          <w:p>
            <w:pPr>
              <w:jc w:val="left"/>
            </w:pPr>
            <w:r>
              <w:rPr>
                <w:b w:val="false"/>
                <w:bCs w:val="false"/>
                <w:color w:val="222222"/>
                <w:sz w:val="18"/>
                <w:szCs w:val="18"/>
              </w:rPr>
              <w:t xml:space="preserve">2,240 rows / 20 cols</w:t>
            </w:r>
          </w:p>
        </w:tc>
        <w:tc>
          <w:tcPr>
            <w:tcW w:type="dxa" w:w="3800"/>
            <w:shd w:fill="EEF2FA" w:val="clear"/>
            <w:tcMar>
              <w:top w:type="dxa" w:w="60"/>
              <w:left w:type="dxa" w:w="100"/>
              <w:bottom w:type="dxa" w:w="60"/>
              <w:right w:type="dxa" w:w="100"/>
            </w:tcMar>
          </w:tcPr>
          <w:p>
            <w:pPr>
              <w:jc w:val="left"/>
            </w:pPr>
            <w:r>
              <w:rPr>
                <w:b w:val="false"/>
                <w:bCs w:val="false"/>
                <w:color w:val="222222"/>
                <w:sz w:val="18"/>
                <w:szCs w:val="18"/>
              </w:rPr>
              <w:t xml:space="preserve">Campaign channel, funnel stage, spend, attributed revenue, response</w:t>
            </w:r>
          </w:p>
        </w:tc>
      </w:tr>
      <w:tr>
        <w:tc>
          <w:tcPr>
            <w:tcW w:type="dxa" w:w="3400"/>
            <w:tcMar>
              <w:top w:type="dxa" w:w="60"/>
              <w:left w:type="dxa" w:w="100"/>
              <w:bottom w:type="dxa" w:w="60"/>
              <w:right w:type="dxa" w:w="100"/>
            </w:tcMar>
          </w:tcPr>
          <w:p>
            <w:pPr>
              <w:jc w:val="left"/>
            </w:pPr>
            <w:r>
              <w:rPr>
                <w:b w:val="false"/>
                <w:bCs w:val="false"/>
                <w:color w:val="222222"/>
                <w:sz w:val="18"/>
                <w:szCs w:val="18"/>
              </w:rPr>
              <w:t xml:space="preserve">novatech_support_tickets.csv</w:t>
            </w:r>
          </w:p>
        </w:tc>
        <w:tc>
          <w:tcPr>
            <w:tcW w:type="dxa" w:w="2400"/>
            <w:tcMar>
              <w:top w:type="dxa" w:w="60"/>
              <w:left w:type="dxa" w:w="100"/>
              <w:bottom w:type="dxa" w:w="60"/>
              <w:right w:type="dxa" w:w="100"/>
            </w:tcMar>
          </w:tcPr>
          <w:p>
            <w:pPr>
              <w:jc w:val="left"/>
            </w:pPr>
            <w:r>
              <w:rPr>
                <w:b w:val="false"/>
                <w:bCs w:val="false"/>
                <w:color w:val="222222"/>
                <w:sz w:val="18"/>
                <w:szCs w:val="18"/>
              </w:rPr>
              <w:t xml:space="preserve">3,000 rows / 20 cols</w:t>
            </w:r>
          </w:p>
        </w:tc>
        <w:tc>
          <w:tcPr>
            <w:tcW w:type="dxa" w:w="3800"/>
            <w:tcMar>
              <w:top w:type="dxa" w:w="60"/>
              <w:left w:type="dxa" w:w="100"/>
              <w:bottom w:type="dxa" w:w="60"/>
              <w:right w:type="dxa" w:w="100"/>
            </w:tcMar>
          </w:tcPr>
          <w:p>
            <w:pPr>
              <w:jc w:val="left"/>
            </w:pPr>
            <w:r>
              <w:rPr>
                <w:b w:val="false"/>
                <w:bCs w:val="false"/>
                <w:color w:val="222222"/>
                <w:sz w:val="18"/>
                <w:szCs w:val="18"/>
              </w:rPr>
              <w:t xml:space="preserve">Ticket priority, resolution time, product area, customer sentiment</w:t>
            </w:r>
          </w:p>
        </w:tc>
      </w:tr>
    </w:tbl>
    <w:p>
      <w:pPr>
        <w:spacing w:after="140"/>
      </w:pPr>
    </w:p>
    <w:p>
      <w:pPr>
        <w:spacing w:after="120"/>
        <w:jc w:val="both"/>
      </w:pPr>
      <w:r>
        <w:rPr>
          <w:color w:val="222222"/>
          <w:sz w:val="21"/>
          <w:szCs w:val="21"/>
        </w:rPr>
        <w:t xml:space="preserve">Before any visual was built, every field's meaning and expected values were checked against the supplied data dictionary, then verified live against the actual QuickSight data using Amazon Q's chat interface (Quick Chat) — one knowledge base at a time. Seven verification questions were asked (two each against CRM Deals, Marketing Campaigns, and Support Tickets, plus one against the written company background document), and all seven matched the expected values exactly: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600"/>
        <w:gridCol w:w="1900"/>
        <w:gridCol w:w="1900"/>
        <w:gridCol w:w="700"/>
      </w:tblGrid>
      <w:tr>
        <w:trPr>
          <w:tblHeader/>
        </w:trPr>
        <w:tc>
          <w:tcPr>
            <w:tcW w:type="dxa" w:w="500"/>
            <w:shd w:fill="2F5FB3" w:val="clear"/>
            <w:tcMar>
              <w:top w:type="dxa" w:w="60"/>
              <w:left w:type="dxa" w:w="100"/>
              <w:bottom w:type="dxa" w:w="60"/>
              <w:right w:type="dxa" w:w="100"/>
            </w:tcMar>
          </w:tcPr>
          <w:p>
            <w:pPr>
              <w:jc w:val="left"/>
            </w:pPr>
            <w:r>
              <w:rPr>
                <w:b/>
                <w:bCs/>
                <w:color w:val="FFFFFF"/>
                <w:sz w:val="18"/>
                <w:szCs w:val="18"/>
              </w:rPr>
              <w:t xml:space="preserve">#</w:t>
            </w:r>
          </w:p>
        </w:tc>
        <w:tc>
          <w:tcPr>
            <w:tcW w:type="dxa" w:w="2000"/>
            <w:shd w:fill="2F5FB3" w:val="clear"/>
            <w:tcMar>
              <w:top w:type="dxa" w:w="60"/>
              <w:left w:type="dxa" w:w="100"/>
              <w:bottom w:type="dxa" w:w="60"/>
              <w:right w:type="dxa" w:w="100"/>
            </w:tcMar>
          </w:tcPr>
          <w:p>
            <w:pPr>
              <w:jc w:val="left"/>
            </w:pPr>
            <w:r>
              <w:rPr>
                <w:b/>
                <w:bCs/>
                <w:color w:val="FFFFFF"/>
                <w:sz w:val="18"/>
                <w:szCs w:val="18"/>
              </w:rPr>
              <w:t xml:space="preserve">Knowledge Base</w:t>
            </w:r>
          </w:p>
        </w:tc>
        <w:tc>
          <w:tcPr>
            <w:tcW w:type="dxa" w:w="2600"/>
            <w:shd w:fill="2F5FB3" w:val="clear"/>
            <w:tcMar>
              <w:top w:type="dxa" w:w="60"/>
              <w:left w:type="dxa" w:w="100"/>
              <w:bottom w:type="dxa" w:w="60"/>
              <w:right w:type="dxa" w:w="100"/>
            </w:tcMar>
          </w:tcPr>
          <w:p>
            <w:pPr>
              <w:jc w:val="left"/>
            </w:pPr>
            <w:r>
              <w:rPr>
                <w:b/>
                <w:bCs/>
                <w:color w:val="FFFFFF"/>
                <w:sz w:val="18"/>
                <w:szCs w:val="18"/>
              </w:rPr>
              <w:t xml:space="preserve">Question</w:t>
            </w:r>
          </w:p>
        </w:tc>
        <w:tc>
          <w:tcPr>
            <w:tcW w:type="dxa" w:w="1900"/>
            <w:shd w:fill="2F5FB3" w:val="clear"/>
            <w:tcMar>
              <w:top w:type="dxa" w:w="60"/>
              <w:left w:type="dxa" w:w="100"/>
              <w:bottom w:type="dxa" w:w="60"/>
              <w:right w:type="dxa" w:w="100"/>
            </w:tcMar>
          </w:tcPr>
          <w:p>
            <w:pPr>
              <w:jc w:val="left"/>
            </w:pPr>
            <w:r>
              <w:rPr>
                <w:b/>
                <w:bCs/>
                <w:color w:val="FFFFFF"/>
                <w:sz w:val="18"/>
                <w:szCs w:val="18"/>
              </w:rPr>
              <w:t xml:space="preserve">Expected</w:t>
            </w:r>
          </w:p>
        </w:tc>
        <w:tc>
          <w:tcPr>
            <w:tcW w:type="dxa" w:w="1900"/>
            <w:shd w:fill="2F5FB3" w:val="clear"/>
            <w:tcMar>
              <w:top w:type="dxa" w:w="60"/>
              <w:left w:type="dxa" w:w="100"/>
              <w:bottom w:type="dxa" w:w="60"/>
              <w:right w:type="dxa" w:w="100"/>
            </w:tcMar>
          </w:tcPr>
          <w:p>
            <w:pPr>
              <w:jc w:val="left"/>
            </w:pPr>
            <w:r>
              <w:rPr>
                <w:b/>
                <w:bCs/>
                <w:color w:val="FFFFFF"/>
                <w:sz w:val="18"/>
                <w:szCs w:val="18"/>
              </w:rPr>
              <w:t xml:space="preserve">Q's Answer</w:t>
            </w:r>
          </w:p>
        </w:tc>
        <w:tc>
          <w:tcPr>
            <w:tcW w:type="dxa" w:w="700"/>
            <w:shd w:fill="2F5FB3" w:val="clear"/>
            <w:tcMar>
              <w:top w:type="dxa" w:w="60"/>
              <w:left w:type="dxa" w:w="100"/>
              <w:bottom w:type="dxa" w:w="60"/>
              <w:right w:type="dxa" w:w="100"/>
            </w:tcMar>
          </w:tcPr>
          <w:p>
            <w:pPr>
              <w:jc w:val="left"/>
            </w:pPr>
            <w:r>
              <w:rPr>
                <w:b/>
                <w:bCs/>
                <w:color w:val="FFFFFF"/>
                <w:sz w:val="18"/>
                <w:szCs w:val="18"/>
              </w:rPr>
              <w:t xml:space="preserve">Match</w:t>
            </w:r>
          </w:p>
        </w:tc>
      </w:tr>
      <w:tr>
        <w:tc>
          <w:tcPr>
            <w:tcW w:type="dxa" w:w="500"/>
            <w:tcMar>
              <w:top w:type="dxa" w:w="60"/>
              <w:left w:type="dxa" w:w="100"/>
              <w:bottom w:type="dxa" w:w="60"/>
              <w:right w:type="dxa" w:w="100"/>
            </w:tcMar>
          </w:tcPr>
          <w:p>
            <w:pPr>
              <w:jc w:val="left"/>
            </w:pPr>
            <w:r>
              <w:rPr>
                <w:b w:val="false"/>
                <w:bCs w:val="false"/>
                <w:color w:val="222222"/>
                <w:sz w:val="18"/>
                <w:szCs w:val="18"/>
              </w:rPr>
              <w:t xml:space="preserve">1</w:t>
            </w:r>
          </w:p>
        </w:tc>
        <w:tc>
          <w:tcPr>
            <w:tcW w:type="dxa" w:w="2000"/>
            <w:tcMar>
              <w:top w:type="dxa" w:w="60"/>
              <w:left w:type="dxa" w:w="100"/>
              <w:bottom w:type="dxa" w:w="60"/>
              <w:right w:type="dxa" w:w="100"/>
            </w:tcMar>
          </w:tcPr>
          <w:p>
            <w:pPr>
              <w:jc w:val="left"/>
            </w:pPr>
            <w:r>
              <w:rPr>
                <w:b w:val="false"/>
                <w:bCs w:val="false"/>
                <w:color w:val="222222"/>
                <w:sz w:val="18"/>
                <w:szCs w:val="18"/>
              </w:rPr>
              <w:t xml:space="preserve">CRM Deals</w:t>
            </w:r>
          </w:p>
        </w:tc>
        <w:tc>
          <w:tcPr>
            <w:tcW w:type="dxa" w:w="2600"/>
            <w:tcMar>
              <w:top w:type="dxa" w:w="60"/>
              <w:left w:type="dxa" w:w="100"/>
              <w:bottom w:type="dxa" w:w="60"/>
              <w:right w:type="dxa" w:w="100"/>
            </w:tcMar>
          </w:tcPr>
          <w:p>
            <w:pPr>
              <w:jc w:val="left"/>
            </w:pPr>
            <w:r>
              <w:rPr>
                <w:b w:val="false"/>
                <w:bCs w:val="false"/>
                <w:color w:val="222222"/>
                <w:sz w:val="18"/>
                <w:szCs w:val="18"/>
              </w:rPr>
              <w:t xml:space="preserve">Unique accounts in the dataset?</w:t>
            </w:r>
          </w:p>
        </w:tc>
        <w:tc>
          <w:tcPr>
            <w:tcW w:type="dxa" w:w="1900"/>
            <w:tcMar>
              <w:top w:type="dxa" w:w="60"/>
              <w:left w:type="dxa" w:w="100"/>
              <w:bottom w:type="dxa" w:w="60"/>
              <w:right w:type="dxa" w:w="100"/>
            </w:tcMar>
          </w:tcPr>
          <w:p>
            <w:pPr>
              <w:jc w:val="left"/>
            </w:pPr>
            <w:r>
              <w:rPr>
                <w:b w:val="false"/>
                <w:bCs w:val="false"/>
                <w:color w:val="222222"/>
                <w:sz w:val="18"/>
                <w:szCs w:val="18"/>
              </w:rPr>
              <w:t xml:space="preserve">85</w:t>
            </w:r>
          </w:p>
        </w:tc>
        <w:tc>
          <w:tcPr>
            <w:tcW w:type="dxa" w:w="1900"/>
            <w:tcMar>
              <w:top w:type="dxa" w:w="60"/>
              <w:left w:type="dxa" w:w="100"/>
              <w:bottom w:type="dxa" w:w="60"/>
              <w:right w:type="dxa" w:w="100"/>
            </w:tcMar>
          </w:tcPr>
          <w:p>
            <w:pPr>
              <w:jc w:val="left"/>
            </w:pPr>
            <w:r>
              <w:rPr>
                <w:b w:val="false"/>
                <w:bCs w:val="false"/>
                <w:color w:val="222222"/>
                <w:sz w:val="18"/>
                <w:szCs w:val="18"/>
              </w:rPr>
              <w:t xml:space="preserve">85</w:t>
            </w:r>
          </w:p>
        </w:tc>
        <w:tc>
          <w:tcPr>
            <w:tcW w:type="dxa" w:w="700"/>
            <w:tcMar>
              <w:top w:type="dxa" w:w="60"/>
              <w:left w:type="dxa" w:w="100"/>
              <w:bottom w:type="dxa" w:w="60"/>
              <w:right w:type="dxa" w:w="100"/>
            </w:tcMar>
          </w:tcPr>
          <w:p>
            <w:pPr>
              <w:jc w:val="left"/>
            </w:pPr>
            <w:r>
              <w:rPr>
                <w:b w:val="false"/>
                <w:bCs w:val="false"/>
                <w:color w:val="222222"/>
                <w:sz w:val="18"/>
                <w:szCs w:val="18"/>
              </w:rPr>
              <w:t xml:space="preserve">Yes</w:t>
            </w:r>
          </w:p>
        </w:tc>
      </w:tr>
      <w:tr>
        <w:tc>
          <w:tcPr>
            <w:tcW w:type="dxa" w:w="500"/>
            <w:shd w:fill="EEF2FA" w:val="clear"/>
            <w:tcMar>
              <w:top w:type="dxa" w:w="60"/>
              <w:left w:type="dxa" w:w="100"/>
              <w:bottom w:type="dxa" w:w="60"/>
              <w:right w:type="dxa" w:w="100"/>
            </w:tcMar>
          </w:tcPr>
          <w:p>
            <w:pPr>
              <w:jc w:val="left"/>
            </w:pPr>
            <w:r>
              <w:rPr>
                <w:b w:val="false"/>
                <w:bCs w:val="false"/>
                <w:color w:val="222222"/>
                <w:sz w:val="18"/>
                <w:szCs w:val="18"/>
              </w:rPr>
              <w:t xml:space="preserve">2</w:t>
            </w:r>
          </w:p>
        </w:tc>
        <w:tc>
          <w:tcPr>
            <w:tcW w:type="dxa" w:w="2000"/>
            <w:shd w:fill="EEF2FA" w:val="clear"/>
            <w:tcMar>
              <w:top w:type="dxa" w:w="60"/>
              <w:left w:type="dxa" w:w="100"/>
              <w:bottom w:type="dxa" w:w="60"/>
              <w:right w:type="dxa" w:w="100"/>
            </w:tcMar>
          </w:tcPr>
          <w:p>
            <w:pPr>
              <w:jc w:val="left"/>
            </w:pPr>
            <w:r>
              <w:rPr>
                <w:b w:val="false"/>
                <w:bCs w:val="false"/>
                <w:color w:val="222222"/>
                <w:sz w:val="18"/>
                <w:szCs w:val="18"/>
              </w:rPr>
              <w:t xml:space="preserve">CRM Deals</w:t>
            </w:r>
          </w:p>
        </w:tc>
        <w:tc>
          <w:tcPr>
            <w:tcW w:type="dxa" w:w="2600"/>
            <w:shd w:fill="EEF2FA" w:val="clear"/>
            <w:tcMar>
              <w:top w:type="dxa" w:w="60"/>
              <w:left w:type="dxa" w:w="100"/>
              <w:bottom w:type="dxa" w:w="60"/>
              <w:right w:type="dxa" w:w="100"/>
            </w:tcMar>
          </w:tcPr>
          <w:p>
            <w:pPr>
              <w:jc w:val="left"/>
            </w:pPr>
            <w:r>
              <w:rPr>
                <w:b w:val="false"/>
                <w:bCs w:val="false"/>
                <w:color w:val="222222"/>
                <w:sz w:val="18"/>
                <w:szCs w:val="18"/>
              </w:rPr>
              <w:t xml:space="preserve">Deals Won vs. Lost?</w:t>
            </w:r>
          </w:p>
        </w:tc>
        <w:tc>
          <w:tcPr>
            <w:tcW w:type="dxa" w:w="1900"/>
            <w:shd w:fill="EEF2FA" w:val="clear"/>
            <w:tcMar>
              <w:top w:type="dxa" w:w="60"/>
              <w:left w:type="dxa" w:w="100"/>
              <w:bottom w:type="dxa" w:w="60"/>
              <w:right w:type="dxa" w:w="100"/>
            </w:tcMar>
          </w:tcPr>
          <w:p>
            <w:pPr>
              <w:jc w:val="left"/>
            </w:pPr>
            <w:r>
              <w:rPr>
                <w:b w:val="false"/>
                <w:bCs w:val="false"/>
                <w:color w:val="222222"/>
                <w:sz w:val="18"/>
                <w:szCs w:val="18"/>
              </w:rPr>
              <w:t xml:space="preserve">Won 315 / Lost 184</w:t>
            </w:r>
          </w:p>
        </w:tc>
        <w:tc>
          <w:tcPr>
            <w:tcW w:type="dxa" w:w="1900"/>
            <w:shd w:fill="EEF2FA" w:val="clear"/>
            <w:tcMar>
              <w:top w:type="dxa" w:w="60"/>
              <w:left w:type="dxa" w:w="100"/>
              <w:bottom w:type="dxa" w:w="60"/>
              <w:right w:type="dxa" w:w="100"/>
            </w:tcMar>
          </w:tcPr>
          <w:p>
            <w:pPr>
              <w:jc w:val="left"/>
            </w:pPr>
            <w:r>
              <w:rPr>
                <w:b w:val="false"/>
                <w:bCs w:val="false"/>
                <w:color w:val="222222"/>
                <w:sz w:val="18"/>
                <w:szCs w:val="18"/>
              </w:rPr>
              <w:t xml:space="preserve">Won 315 / Lost 184</w:t>
            </w:r>
          </w:p>
        </w:tc>
        <w:tc>
          <w:tcPr>
            <w:tcW w:type="dxa" w:w="700"/>
            <w:shd w:fill="EEF2FA" w:val="clear"/>
            <w:tcMar>
              <w:top w:type="dxa" w:w="60"/>
              <w:left w:type="dxa" w:w="100"/>
              <w:bottom w:type="dxa" w:w="60"/>
              <w:right w:type="dxa" w:w="100"/>
            </w:tcMar>
          </w:tcPr>
          <w:p>
            <w:pPr>
              <w:jc w:val="left"/>
            </w:pPr>
            <w:r>
              <w:rPr>
                <w:b w:val="false"/>
                <w:bCs w:val="false"/>
                <w:color w:val="222222"/>
                <w:sz w:val="18"/>
                <w:szCs w:val="18"/>
              </w:rPr>
              <w:t xml:space="preserve">Yes</w:t>
            </w:r>
          </w:p>
        </w:tc>
      </w:tr>
      <w:tr>
        <w:tc>
          <w:tcPr>
            <w:tcW w:type="dxa" w:w="500"/>
            <w:tcMar>
              <w:top w:type="dxa" w:w="60"/>
              <w:left w:type="dxa" w:w="100"/>
              <w:bottom w:type="dxa" w:w="60"/>
              <w:right w:type="dxa" w:w="100"/>
            </w:tcMar>
          </w:tcPr>
          <w:p>
            <w:pPr>
              <w:jc w:val="left"/>
            </w:pPr>
            <w:r>
              <w:rPr>
                <w:b w:val="false"/>
                <w:bCs w:val="false"/>
                <w:color w:val="222222"/>
                <w:sz w:val="18"/>
                <w:szCs w:val="18"/>
              </w:rPr>
              <w:t xml:space="preserve">3</w:t>
            </w:r>
          </w:p>
        </w:tc>
        <w:tc>
          <w:tcPr>
            <w:tcW w:type="dxa" w:w="2000"/>
            <w:tcMar>
              <w:top w:type="dxa" w:w="60"/>
              <w:left w:type="dxa" w:w="100"/>
              <w:bottom w:type="dxa" w:w="60"/>
              <w:right w:type="dxa" w:w="100"/>
            </w:tcMar>
          </w:tcPr>
          <w:p>
            <w:pPr>
              <w:jc w:val="left"/>
            </w:pPr>
            <w:r>
              <w:rPr>
                <w:b w:val="false"/>
                <w:bCs w:val="false"/>
                <w:color w:val="222222"/>
                <w:sz w:val="18"/>
                <w:szCs w:val="18"/>
              </w:rPr>
              <w:t xml:space="preserve">Marketing Campaigns</w:t>
            </w:r>
          </w:p>
        </w:tc>
        <w:tc>
          <w:tcPr>
            <w:tcW w:type="dxa" w:w="2600"/>
            <w:tcMar>
              <w:top w:type="dxa" w:w="60"/>
              <w:left w:type="dxa" w:w="100"/>
              <w:bottom w:type="dxa" w:w="60"/>
              <w:right w:type="dxa" w:w="100"/>
            </w:tcMar>
          </w:tcPr>
          <w:p>
            <w:pPr>
              <w:jc w:val="left"/>
            </w:pPr>
            <w:r>
              <w:rPr>
                <w:b w:val="false"/>
                <w:bCs w:val="false"/>
                <w:color w:val="222222"/>
                <w:sz w:val="18"/>
                <w:szCs w:val="18"/>
              </w:rPr>
              <w:t xml:space="preserve">Distinct campaign channels?</w:t>
            </w:r>
          </w:p>
        </w:tc>
        <w:tc>
          <w:tcPr>
            <w:tcW w:type="dxa" w:w="1900"/>
            <w:tcMar>
              <w:top w:type="dxa" w:w="60"/>
              <w:left w:type="dxa" w:w="100"/>
              <w:bottom w:type="dxa" w:w="60"/>
              <w:right w:type="dxa" w:w="100"/>
            </w:tcMar>
          </w:tcPr>
          <w:p>
            <w:pPr>
              <w:jc w:val="left"/>
            </w:pPr>
            <w:r>
              <w:rPr>
                <w:b w:val="false"/>
                <w:bCs w:val="false"/>
                <w:color w:val="222222"/>
                <w:sz w:val="18"/>
                <w:szCs w:val="18"/>
              </w:rPr>
              <w:t xml:space="preserve">5 channels</w:t>
            </w:r>
          </w:p>
        </w:tc>
        <w:tc>
          <w:tcPr>
            <w:tcW w:type="dxa" w:w="1900"/>
            <w:tcMar>
              <w:top w:type="dxa" w:w="60"/>
              <w:left w:type="dxa" w:w="100"/>
              <w:bottom w:type="dxa" w:w="60"/>
              <w:right w:type="dxa" w:w="100"/>
            </w:tcMar>
          </w:tcPr>
          <w:p>
            <w:pPr>
              <w:jc w:val="left"/>
            </w:pPr>
            <w:r>
              <w:rPr>
                <w:b w:val="false"/>
                <w:bCs w:val="false"/>
                <w:color w:val="222222"/>
                <w:sz w:val="18"/>
                <w:szCs w:val="18"/>
              </w:rPr>
              <w:t xml:space="preserve">Same 5 channels</w:t>
            </w:r>
          </w:p>
        </w:tc>
        <w:tc>
          <w:tcPr>
            <w:tcW w:type="dxa" w:w="700"/>
            <w:tcMar>
              <w:top w:type="dxa" w:w="60"/>
              <w:left w:type="dxa" w:w="100"/>
              <w:bottom w:type="dxa" w:w="60"/>
              <w:right w:type="dxa" w:w="100"/>
            </w:tcMar>
          </w:tcPr>
          <w:p>
            <w:pPr>
              <w:jc w:val="left"/>
            </w:pPr>
            <w:r>
              <w:rPr>
                <w:b w:val="false"/>
                <w:bCs w:val="false"/>
                <w:color w:val="222222"/>
                <w:sz w:val="18"/>
                <w:szCs w:val="18"/>
              </w:rPr>
              <w:t xml:space="preserve">Yes</w:t>
            </w:r>
          </w:p>
        </w:tc>
      </w:tr>
      <w:tr>
        <w:tc>
          <w:tcPr>
            <w:tcW w:type="dxa" w:w="500"/>
            <w:shd w:fill="EEF2FA" w:val="clear"/>
            <w:tcMar>
              <w:top w:type="dxa" w:w="60"/>
              <w:left w:type="dxa" w:w="100"/>
              <w:bottom w:type="dxa" w:w="60"/>
              <w:right w:type="dxa" w:w="100"/>
            </w:tcMar>
          </w:tcPr>
          <w:p>
            <w:pPr>
              <w:jc w:val="left"/>
            </w:pPr>
            <w:r>
              <w:rPr>
                <w:b w:val="false"/>
                <w:bCs w:val="false"/>
                <w:color w:val="222222"/>
                <w:sz w:val="18"/>
                <w:szCs w:val="18"/>
              </w:rPr>
              <w:t xml:space="preserve">4</w:t>
            </w:r>
          </w:p>
        </w:tc>
        <w:tc>
          <w:tcPr>
            <w:tcW w:type="dxa" w:w="2000"/>
            <w:shd w:fill="EEF2FA" w:val="clear"/>
            <w:tcMar>
              <w:top w:type="dxa" w:w="60"/>
              <w:left w:type="dxa" w:w="100"/>
              <w:bottom w:type="dxa" w:w="60"/>
              <w:right w:type="dxa" w:w="100"/>
            </w:tcMar>
          </w:tcPr>
          <w:p>
            <w:pPr>
              <w:jc w:val="left"/>
            </w:pPr>
            <w:r>
              <w:rPr>
                <w:b w:val="false"/>
                <w:bCs w:val="false"/>
                <w:color w:val="222222"/>
                <w:sz w:val="18"/>
                <w:szCs w:val="18"/>
              </w:rPr>
              <w:t xml:space="preserve">Marketing Campaigns</w:t>
            </w:r>
          </w:p>
        </w:tc>
        <w:tc>
          <w:tcPr>
            <w:tcW w:type="dxa" w:w="2600"/>
            <w:shd w:fill="EEF2FA" w:val="clear"/>
            <w:tcMar>
              <w:top w:type="dxa" w:w="60"/>
              <w:left w:type="dxa" w:w="100"/>
              <w:bottom w:type="dxa" w:w="60"/>
              <w:right w:type="dxa" w:w="100"/>
            </w:tcMar>
          </w:tcPr>
          <w:p>
            <w:pPr>
              <w:jc w:val="left"/>
            </w:pPr>
            <w:r>
              <w:rPr>
                <w:b w:val="false"/>
                <w:bCs w:val="false"/>
                <w:color w:val="222222"/>
                <w:sz w:val="18"/>
                <w:szCs w:val="18"/>
              </w:rPr>
              <w:t xml:space="preserve">% of leads that responded?</w:t>
            </w:r>
          </w:p>
        </w:tc>
        <w:tc>
          <w:tcPr>
            <w:tcW w:type="dxa" w:w="1900"/>
            <w:shd w:fill="EEF2FA" w:val="clear"/>
            <w:tcMar>
              <w:top w:type="dxa" w:w="60"/>
              <w:left w:type="dxa" w:w="100"/>
              <w:bottom w:type="dxa" w:w="60"/>
              <w:right w:type="dxa" w:w="100"/>
            </w:tcMar>
          </w:tcPr>
          <w:p>
            <w:pPr>
              <w:jc w:val="left"/>
            </w:pPr>
            <w:r>
              <w:rPr>
                <w:b w:val="false"/>
                <w:bCs w:val="false"/>
                <w:color w:val="222222"/>
                <w:sz w:val="18"/>
                <w:szCs w:val="18"/>
              </w:rPr>
              <w:t xml:space="preserve">27.2% (609/2,240)</w:t>
            </w:r>
          </w:p>
        </w:tc>
        <w:tc>
          <w:tcPr>
            <w:tcW w:type="dxa" w:w="1900"/>
            <w:shd w:fill="EEF2FA" w:val="clear"/>
            <w:tcMar>
              <w:top w:type="dxa" w:w="60"/>
              <w:left w:type="dxa" w:w="100"/>
              <w:bottom w:type="dxa" w:w="60"/>
              <w:right w:type="dxa" w:w="100"/>
            </w:tcMar>
          </w:tcPr>
          <w:p>
            <w:pPr>
              <w:jc w:val="left"/>
            </w:pPr>
            <w:r>
              <w:rPr>
                <w:b w:val="false"/>
                <w:bCs w:val="false"/>
                <w:color w:val="222222"/>
                <w:sz w:val="18"/>
                <w:szCs w:val="18"/>
              </w:rPr>
              <w:t xml:space="preserve">27.19% (609/2,240)</w:t>
            </w:r>
          </w:p>
        </w:tc>
        <w:tc>
          <w:tcPr>
            <w:tcW w:type="dxa" w:w="700"/>
            <w:shd w:fill="EEF2FA" w:val="clear"/>
            <w:tcMar>
              <w:top w:type="dxa" w:w="60"/>
              <w:left w:type="dxa" w:w="100"/>
              <w:bottom w:type="dxa" w:w="60"/>
              <w:right w:type="dxa" w:w="100"/>
            </w:tcMar>
          </w:tcPr>
          <w:p>
            <w:pPr>
              <w:jc w:val="left"/>
            </w:pPr>
            <w:r>
              <w:rPr>
                <w:b w:val="false"/>
                <w:bCs w:val="false"/>
                <w:color w:val="222222"/>
                <w:sz w:val="18"/>
                <w:szCs w:val="18"/>
              </w:rPr>
              <w:t xml:space="preserve">Yes</w:t>
            </w:r>
          </w:p>
        </w:tc>
      </w:tr>
      <w:tr>
        <w:tc>
          <w:tcPr>
            <w:tcW w:type="dxa" w:w="500"/>
            <w:tcMar>
              <w:top w:type="dxa" w:w="60"/>
              <w:left w:type="dxa" w:w="100"/>
              <w:bottom w:type="dxa" w:w="60"/>
              <w:right w:type="dxa" w:w="100"/>
            </w:tcMar>
          </w:tcPr>
          <w:p>
            <w:pPr>
              <w:jc w:val="left"/>
            </w:pPr>
            <w:r>
              <w:rPr>
                <w:b w:val="false"/>
                <w:bCs w:val="false"/>
                <w:color w:val="222222"/>
                <w:sz w:val="18"/>
                <w:szCs w:val="18"/>
              </w:rPr>
              <w:t xml:space="preserve">5</w:t>
            </w:r>
          </w:p>
        </w:tc>
        <w:tc>
          <w:tcPr>
            <w:tcW w:type="dxa" w:w="2000"/>
            <w:tcMar>
              <w:top w:type="dxa" w:w="60"/>
              <w:left w:type="dxa" w:w="100"/>
              <w:bottom w:type="dxa" w:w="60"/>
              <w:right w:type="dxa" w:w="100"/>
            </w:tcMar>
          </w:tcPr>
          <w:p>
            <w:pPr>
              <w:jc w:val="left"/>
            </w:pPr>
            <w:r>
              <w:rPr>
                <w:b w:val="false"/>
                <w:bCs w:val="false"/>
                <w:color w:val="222222"/>
                <w:sz w:val="18"/>
                <w:szCs w:val="18"/>
              </w:rPr>
              <w:t xml:space="preserve">Support Tickets</w:t>
            </w:r>
          </w:p>
        </w:tc>
        <w:tc>
          <w:tcPr>
            <w:tcW w:type="dxa" w:w="2600"/>
            <w:tcMar>
              <w:top w:type="dxa" w:w="60"/>
              <w:left w:type="dxa" w:w="100"/>
              <w:bottom w:type="dxa" w:w="60"/>
              <w:right w:type="dxa" w:w="100"/>
            </w:tcMar>
          </w:tcPr>
          <w:p>
            <w:pPr>
              <w:jc w:val="left"/>
            </w:pPr>
            <w:r>
              <w:rPr>
                <w:b w:val="false"/>
                <w:bCs w:val="false"/>
                <w:color w:val="222222"/>
                <w:sz w:val="18"/>
                <w:szCs w:val="18"/>
              </w:rPr>
              <w:t xml:space="preserve">Tickets per priority level?</w:t>
            </w:r>
          </w:p>
        </w:tc>
        <w:tc>
          <w:tcPr>
            <w:tcW w:type="dxa" w:w="1900"/>
            <w:tcMar>
              <w:top w:type="dxa" w:w="60"/>
              <w:left w:type="dxa" w:w="100"/>
              <w:bottom w:type="dxa" w:w="60"/>
              <w:right w:type="dxa" w:w="100"/>
            </w:tcMar>
          </w:tcPr>
          <w:p>
            <w:pPr>
              <w:jc w:val="left"/>
            </w:pPr>
            <w:r>
              <w:rPr>
                <w:b w:val="false"/>
                <w:bCs w:val="false"/>
                <w:color w:val="222222"/>
                <w:sz w:val="18"/>
                <w:szCs w:val="18"/>
              </w:rPr>
              <w:t xml:space="preserve">Low 1,500 / Med 1,050 / High 400 / Crit 50</w:t>
            </w:r>
          </w:p>
        </w:tc>
        <w:tc>
          <w:tcPr>
            <w:tcW w:type="dxa" w:w="1900"/>
            <w:tcMar>
              <w:top w:type="dxa" w:w="60"/>
              <w:left w:type="dxa" w:w="100"/>
              <w:bottom w:type="dxa" w:w="60"/>
              <w:right w:type="dxa" w:w="100"/>
            </w:tcMar>
          </w:tcPr>
          <w:p>
            <w:pPr>
              <w:jc w:val="left"/>
            </w:pPr>
            <w:r>
              <w:rPr>
                <w:b w:val="false"/>
                <w:bCs w:val="false"/>
                <w:color w:val="222222"/>
                <w:sz w:val="18"/>
                <w:szCs w:val="18"/>
              </w:rPr>
              <w:t xml:space="preserve">Same distribution</w:t>
            </w:r>
          </w:p>
        </w:tc>
        <w:tc>
          <w:tcPr>
            <w:tcW w:type="dxa" w:w="700"/>
            <w:tcMar>
              <w:top w:type="dxa" w:w="60"/>
              <w:left w:type="dxa" w:w="100"/>
              <w:bottom w:type="dxa" w:w="60"/>
              <w:right w:type="dxa" w:w="100"/>
            </w:tcMar>
          </w:tcPr>
          <w:p>
            <w:pPr>
              <w:jc w:val="left"/>
            </w:pPr>
            <w:r>
              <w:rPr>
                <w:b w:val="false"/>
                <w:bCs w:val="false"/>
                <w:color w:val="222222"/>
                <w:sz w:val="18"/>
                <w:szCs w:val="18"/>
              </w:rPr>
              <w:t xml:space="preserve">Yes</w:t>
            </w:r>
          </w:p>
        </w:tc>
      </w:tr>
      <w:tr>
        <w:tc>
          <w:tcPr>
            <w:tcW w:type="dxa" w:w="500"/>
            <w:shd w:fill="EEF2FA" w:val="clear"/>
            <w:tcMar>
              <w:top w:type="dxa" w:w="60"/>
              <w:left w:type="dxa" w:w="100"/>
              <w:bottom w:type="dxa" w:w="60"/>
              <w:right w:type="dxa" w:w="100"/>
            </w:tcMar>
          </w:tcPr>
          <w:p>
            <w:pPr>
              <w:jc w:val="left"/>
            </w:pPr>
            <w:r>
              <w:rPr>
                <w:b w:val="false"/>
                <w:bCs w:val="false"/>
                <w:color w:val="222222"/>
                <w:sz w:val="18"/>
                <w:szCs w:val="18"/>
              </w:rPr>
              <w:t xml:space="preserve">6</w:t>
            </w:r>
          </w:p>
        </w:tc>
        <w:tc>
          <w:tcPr>
            <w:tcW w:type="dxa" w:w="2000"/>
            <w:shd w:fill="EEF2FA" w:val="clear"/>
            <w:tcMar>
              <w:top w:type="dxa" w:w="60"/>
              <w:left w:type="dxa" w:w="100"/>
              <w:bottom w:type="dxa" w:w="60"/>
              <w:right w:type="dxa" w:w="100"/>
            </w:tcMar>
          </w:tcPr>
          <w:p>
            <w:pPr>
              <w:jc w:val="left"/>
            </w:pPr>
            <w:r>
              <w:rPr>
                <w:b w:val="false"/>
                <w:bCs w:val="false"/>
                <w:color w:val="222222"/>
                <w:sz w:val="18"/>
                <w:szCs w:val="18"/>
              </w:rPr>
              <w:t xml:space="preserve">Support Tickets</w:t>
            </w:r>
          </w:p>
        </w:tc>
        <w:tc>
          <w:tcPr>
            <w:tcW w:type="dxa" w:w="2600"/>
            <w:shd w:fill="EEF2FA" w:val="clear"/>
            <w:tcMar>
              <w:top w:type="dxa" w:w="60"/>
              <w:left w:type="dxa" w:w="100"/>
              <w:bottom w:type="dxa" w:w="60"/>
              <w:right w:type="dxa" w:w="100"/>
            </w:tcMar>
          </w:tcPr>
          <w:p>
            <w:pPr>
              <w:jc w:val="left"/>
            </w:pPr>
            <w:r>
              <w:rPr>
                <w:b w:val="false"/>
                <w:bCs w:val="false"/>
                <w:color w:val="222222"/>
                <w:sz w:val="18"/>
                <w:szCs w:val="18"/>
              </w:rPr>
              <w:t xml:space="preserve">Tickets with no resolved date?</w:t>
            </w:r>
          </w:p>
        </w:tc>
        <w:tc>
          <w:tcPr>
            <w:tcW w:type="dxa" w:w="1900"/>
            <w:shd w:fill="EEF2FA" w:val="clear"/>
            <w:tcMar>
              <w:top w:type="dxa" w:w="60"/>
              <w:left w:type="dxa" w:w="100"/>
              <w:bottom w:type="dxa" w:w="60"/>
              <w:right w:type="dxa" w:w="100"/>
            </w:tcMar>
          </w:tcPr>
          <w:p>
            <w:pPr>
              <w:jc w:val="left"/>
            </w:pPr>
            <w:r>
              <w:rPr>
                <w:b w:val="false"/>
                <w:bCs w:val="false"/>
                <w:color w:val="222222"/>
                <w:sz w:val="18"/>
                <w:szCs w:val="18"/>
              </w:rPr>
              <w:t xml:space="preserve">59 (2.0%)</w:t>
            </w:r>
          </w:p>
        </w:tc>
        <w:tc>
          <w:tcPr>
            <w:tcW w:type="dxa" w:w="1900"/>
            <w:shd w:fill="EEF2FA" w:val="clear"/>
            <w:tcMar>
              <w:top w:type="dxa" w:w="60"/>
              <w:left w:type="dxa" w:w="100"/>
              <w:bottom w:type="dxa" w:w="60"/>
              <w:right w:type="dxa" w:w="100"/>
            </w:tcMar>
          </w:tcPr>
          <w:p>
            <w:pPr>
              <w:jc w:val="left"/>
            </w:pPr>
            <w:r>
              <w:rPr>
                <w:b w:val="false"/>
                <w:bCs w:val="false"/>
                <w:color w:val="222222"/>
                <w:sz w:val="18"/>
                <w:szCs w:val="18"/>
              </w:rPr>
              <w:t xml:space="preserve">59 (~2%)</w:t>
            </w:r>
          </w:p>
        </w:tc>
        <w:tc>
          <w:tcPr>
            <w:tcW w:type="dxa" w:w="700"/>
            <w:shd w:fill="EEF2FA" w:val="clear"/>
            <w:tcMar>
              <w:top w:type="dxa" w:w="60"/>
              <w:left w:type="dxa" w:w="100"/>
              <w:bottom w:type="dxa" w:w="60"/>
              <w:right w:type="dxa" w:w="100"/>
            </w:tcMar>
          </w:tcPr>
          <w:p>
            <w:pPr>
              <w:jc w:val="left"/>
            </w:pPr>
            <w:r>
              <w:rPr>
                <w:b w:val="false"/>
                <w:bCs w:val="false"/>
                <w:color w:val="222222"/>
                <w:sz w:val="18"/>
                <w:szCs w:val="18"/>
              </w:rPr>
              <w:t xml:space="preserve">Yes</w:t>
            </w:r>
          </w:p>
        </w:tc>
      </w:tr>
      <w:tr>
        <w:tc>
          <w:tcPr>
            <w:tcW w:type="dxa" w:w="500"/>
            <w:tcMar>
              <w:top w:type="dxa" w:w="60"/>
              <w:left w:type="dxa" w:w="100"/>
              <w:bottom w:type="dxa" w:w="60"/>
              <w:right w:type="dxa" w:w="100"/>
            </w:tcMar>
          </w:tcPr>
          <w:p>
            <w:pPr>
              <w:jc w:val="left"/>
            </w:pPr>
            <w:r>
              <w:rPr>
                <w:b w:val="false"/>
                <w:bCs w:val="false"/>
                <w:color w:val="222222"/>
                <w:sz w:val="18"/>
                <w:szCs w:val="18"/>
              </w:rPr>
              <w:t xml:space="preserve">7</w:t>
            </w:r>
          </w:p>
        </w:tc>
        <w:tc>
          <w:tcPr>
            <w:tcW w:type="dxa" w:w="2000"/>
            <w:tcMar>
              <w:top w:type="dxa" w:w="60"/>
              <w:left w:type="dxa" w:w="100"/>
              <w:bottom w:type="dxa" w:w="60"/>
              <w:right w:type="dxa" w:w="100"/>
            </w:tcMar>
          </w:tcPr>
          <w:p>
            <w:pPr>
              <w:jc w:val="left"/>
            </w:pPr>
            <w:r>
              <w:rPr>
                <w:b w:val="false"/>
                <w:bCs w:val="false"/>
                <w:color w:val="222222"/>
                <w:sz w:val="18"/>
                <w:szCs w:val="18"/>
              </w:rPr>
              <w:t xml:space="preserve">Reference Documents</w:t>
            </w:r>
          </w:p>
        </w:tc>
        <w:tc>
          <w:tcPr>
            <w:tcW w:type="dxa" w:w="2600"/>
            <w:tcMar>
              <w:top w:type="dxa" w:w="60"/>
              <w:left w:type="dxa" w:w="100"/>
              <w:bottom w:type="dxa" w:w="60"/>
              <w:right w:type="dxa" w:w="100"/>
            </w:tcMar>
          </w:tcPr>
          <w:p>
            <w:pPr>
              <w:jc w:val="left"/>
            </w:pPr>
            <w:r>
              <w:rPr>
                <w:b w:val="false"/>
                <w:bCs w:val="false"/>
                <w:color w:val="222222"/>
                <w:sz w:val="18"/>
                <w:szCs w:val="18"/>
              </w:rPr>
              <w:t xml:space="preserve">Employees / active accounts?</w:t>
            </w:r>
          </w:p>
        </w:tc>
        <w:tc>
          <w:tcPr>
            <w:tcW w:type="dxa" w:w="1900"/>
            <w:tcMar>
              <w:top w:type="dxa" w:w="60"/>
              <w:left w:type="dxa" w:w="100"/>
              <w:bottom w:type="dxa" w:w="60"/>
              <w:right w:type="dxa" w:w="100"/>
            </w:tcMar>
          </w:tcPr>
          <w:p>
            <w:pPr>
              <w:jc w:val="left"/>
            </w:pPr>
            <w:r>
              <w:rPr>
                <w:b w:val="false"/>
                <w:bCs w:val="false"/>
                <w:color w:val="222222"/>
                <w:sz w:val="18"/>
                <w:szCs w:val="18"/>
              </w:rPr>
              <w:t xml:space="preserve">~200 / 85</w:t>
            </w:r>
          </w:p>
        </w:tc>
        <w:tc>
          <w:tcPr>
            <w:tcW w:type="dxa" w:w="1900"/>
            <w:tcMar>
              <w:top w:type="dxa" w:w="60"/>
              <w:left w:type="dxa" w:w="100"/>
              <w:bottom w:type="dxa" w:w="60"/>
              <w:right w:type="dxa" w:w="100"/>
            </w:tcMar>
          </w:tcPr>
          <w:p>
            <w:pPr>
              <w:jc w:val="left"/>
            </w:pPr>
            <w:r>
              <w:rPr>
                <w:b w:val="false"/>
                <w:bCs w:val="false"/>
                <w:color w:val="222222"/>
                <w:sz w:val="18"/>
                <w:szCs w:val="18"/>
              </w:rPr>
              <w:t xml:space="preserve">~200 / 85</w:t>
            </w:r>
          </w:p>
        </w:tc>
        <w:tc>
          <w:tcPr>
            <w:tcW w:type="dxa" w:w="700"/>
            <w:tcMar>
              <w:top w:type="dxa" w:w="60"/>
              <w:left w:type="dxa" w:w="100"/>
              <w:bottom w:type="dxa" w:w="60"/>
              <w:right w:type="dxa" w:w="100"/>
            </w:tcMar>
          </w:tcPr>
          <w:p>
            <w:pPr>
              <w:jc w:val="left"/>
            </w:pPr>
            <w:r>
              <w:rPr>
                <w:b w:val="false"/>
                <w:bCs w:val="false"/>
                <w:color w:val="222222"/>
                <w:sz w:val="18"/>
                <w:szCs w:val="18"/>
              </w:rPr>
              <w:t xml:space="preserve">Yes</w:t>
            </w:r>
          </w:p>
        </w:tc>
      </w:tr>
    </w:tbl>
    <w:p>
      <w:pPr>
        <w:spacing w:after="140"/>
      </w:pPr>
    </w:p>
    <w:p>
      <w:pPr>
        <w:spacing w:after="120"/>
        <w:jc w:val="both"/>
      </w:pPr>
      <w:r>
        <w:rPr>
          <w:color w:val="222222"/>
          <w:sz w:val="21"/>
          <w:szCs w:val="21"/>
        </w:rPr>
        <w:t xml:space="preserve">As an independent cross-check, the 85-account figure was also confirmed directly inside the QuickSight dataset editor: a temporary Count Distinct aggregation on account_id in novatech_crm_deals.csv returned 85 (the change was discarded, not saved). All three methods — Quick Chat over the dataset, Quick Chat over the reference PDF, and a direct aggregation in the dataset editor — agreed, confirming both data integrity and the reliability of Q's answers. Full question-by-question detail is in the attached Verification Log.</w:t>
      </w:r>
    </w:p>
    <w:p>
      <w:pPr>
        <w:pStyle w:val="Heading1"/>
        <w:spacing w:after="140" w:before="320"/>
      </w:pPr>
      <w:r>
        <w:t xml:space="preserve">3. Dashboard Design</w:t>
      </w:r>
    </w:p>
    <w:p>
      <w:pPr>
        <w:spacing w:after="120"/>
        <w:jc w:val="both"/>
      </w:pPr>
      <w:r>
        <w:rPr>
          <w:color w:val="222222"/>
          <w:sz w:val="21"/>
          <w:szCs w:val="21"/>
        </w:rPr>
        <w:t xml:space="preserve">The dashboard has three sheets, one per business domain, each with page-level filter controls and drill-down to the account level so an analyst can move from a channel-level trend down to a single account without leaving the tool.</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800"/>
        <w:gridCol w:w="2900"/>
        <w:gridCol w:w="2200"/>
        <w:gridCol w:w="2200"/>
      </w:tblGrid>
      <w:tr>
        <w:trPr>
          <w:tblHeader/>
        </w:trPr>
        <w:tc>
          <w:tcPr>
            <w:tcW w:type="dxa" w:w="1800"/>
            <w:shd w:fill="2F5FB3" w:val="clear"/>
            <w:tcMar>
              <w:top w:type="dxa" w:w="60"/>
              <w:left w:type="dxa" w:w="100"/>
              <w:bottom w:type="dxa" w:w="60"/>
              <w:right w:type="dxa" w:w="100"/>
            </w:tcMar>
          </w:tcPr>
          <w:p>
            <w:pPr>
              <w:jc w:val="left"/>
            </w:pPr>
            <w:r>
              <w:rPr>
                <w:b/>
                <w:bCs/>
                <w:color w:val="FFFFFF"/>
                <w:sz w:val="18"/>
                <w:szCs w:val="18"/>
              </w:rPr>
              <w:t xml:space="preserve">Sheet</w:t>
            </w:r>
          </w:p>
        </w:tc>
        <w:tc>
          <w:tcPr>
            <w:tcW w:type="dxa" w:w="2900"/>
            <w:shd w:fill="2F5FB3" w:val="clear"/>
            <w:tcMar>
              <w:top w:type="dxa" w:w="60"/>
              <w:left w:type="dxa" w:w="100"/>
              <w:bottom w:type="dxa" w:w="60"/>
              <w:right w:type="dxa" w:w="100"/>
            </w:tcMar>
          </w:tcPr>
          <w:p>
            <w:pPr>
              <w:jc w:val="left"/>
            </w:pPr>
            <w:r>
              <w:rPr>
                <w:b/>
                <w:bCs/>
                <w:color w:val="FFFFFF"/>
                <w:sz w:val="18"/>
                <w:szCs w:val="18"/>
              </w:rPr>
              <w:t xml:space="preserve">Key Visuals</w:t>
            </w:r>
          </w:p>
        </w:tc>
        <w:tc>
          <w:tcPr>
            <w:tcW w:type="dxa" w:w="2200"/>
            <w:shd w:fill="2F5FB3" w:val="clear"/>
            <w:tcMar>
              <w:top w:type="dxa" w:w="60"/>
              <w:left w:type="dxa" w:w="100"/>
              <w:bottom w:type="dxa" w:w="60"/>
              <w:right w:type="dxa" w:w="100"/>
            </w:tcMar>
          </w:tcPr>
          <w:p>
            <w:pPr>
              <w:jc w:val="left"/>
            </w:pPr>
            <w:r>
              <w:rPr>
                <w:b/>
                <w:bCs/>
                <w:color w:val="FFFFFF"/>
                <w:sz w:val="18"/>
                <w:szCs w:val="18"/>
              </w:rPr>
              <w:t xml:space="preserve">Filters</w:t>
            </w:r>
          </w:p>
        </w:tc>
        <w:tc>
          <w:tcPr>
            <w:tcW w:type="dxa" w:w="2200"/>
            <w:shd w:fill="2F5FB3" w:val="clear"/>
            <w:tcMar>
              <w:top w:type="dxa" w:w="60"/>
              <w:left w:type="dxa" w:w="100"/>
              <w:bottom w:type="dxa" w:w="60"/>
              <w:right w:type="dxa" w:w="100"/>
            </w:tcMar>
          </w:tcPr>
          <w:p>
            <w:pPr>
              <w:jc w:val="left"/>
            </w:pPr>
            <w:r>
              <w:rPr>
                <w:b/>
                <w:bCs/>
                <w:color w:val="FFFFFF"/>
                <w:sz w:val="18"/>
                <w:szCs w:val="18"/>
              </w:rPr>
              <w:t xml:space="preserve">Business Questions Answered</w:t>
            </w:r>
          </w:p>
        </w:tc>
      </w:tr>
      <w:tr>
        <w:tc>
          <w:tcPr>
            <w:tcW w:type="dxa" w:w="1800"/>
            <w:tcMar>
              <w:top w:type="dxa" w:w="60"/>
              <w:left w:type="dxa" w:w="100"/>
              <w:bottom w:type="dxa" w:w="60"/>
              <w:right w:type="dxa" w:w="100"/>
            </w:tcMar>
          </w:tcPr>
          <w:p>
            <w:pPr>
              <w:jc w:val="left"/>
            </w:pPr>
            <w:r>
              <w:rPr>
                <w:b w:val="false"/>
                <w:bCs w:val="false"/>
                <w:color w:val="222222"/>
                <w:sz w:val="18"/>
                <w:szCs w:val="18"/>
              </w:rPr>
              <w:t xml:space="preserve">Marketing Funnel</w:t>
            </w:r>
          </w:p>
        </w:tc>
        <w:tc>
          <w:tcPr>
            <w:tcW w:type="dxa" w:w="2900"/>
            <w:tcMar>
              <w:top w:type="dxa" w:w="60"/>
              <w:left w:type="dxa" w:w="100"/>
              <w:bottom w:type="dxa" w:w="60"/>
              <w:right w:type="dxa" w:w="100"/>
            </w:tcMar>
          </w:tcPr>
          <w:p>
            <w:pPr>
              <w:jc w:val="left"/>
            </w:pPr>
            <w:r>
              <w:rPr>
                <w:b w:val="false"/>
                <w:bCs w:val="false"/>
                <w:color w:val="222222"/>
                <w:sz w:val="18"/>
                <w:szCs w:val="18"/>
              </w:rPr>
              <w:t xml:space="preserve">Revenue by channel; funnel-stage counts; spend vs. revenue by campaign; response rate by channel</w:t>
            </w:r>
          </w:p>
        </w:tc>
        <w:tc>
          <w:tcPr>
            <w:tcW w:type="dxa" w:w="2200"/>
            <w:tcMar>
              <w:top w:type="dxa" w:w="60"/>
              <w:left w:type="dxa" w:w="100"/>
              <w:bottom w:type="dxa" w:w="60"/>
              <w:right w:type="dxa" w:w="100"/>
            </w:tcMar>
          </w:tcPr>
          <w:p>
            <w:pPr>
              <w:jc w:val="left"/>
            </w:pPr>
            <w:r>
              <w:rPr>
                <w:b w:val="false"/>
                <w:bCs w:val="false"/>
                <w:color w:val="222222"/>
                <w:sz w:val="18"/>
                <w:szCs w:val="18"/>
              </w:rPr>
              <w:t xml:space="preserve">Campaign name, channel, date range, customer segment</w:t>
            </w:r>
          </w:p>
        </w:tc>
        <w:tc>
          <w:tcPr>
            <w:tcW w:type="dxa" w:w="2200"/>
            <w:tcMar>
              <w:top w:type="dxa" w:w="60"/>
              <w:left w:type="dxa" w:w="100"/>
              <w:bottom w:type="dxa" w:w="60"/>
              <w:right w:type="dxa" w:w="100"/>
            </w:tcMar>
          </w:tcPr>
          <w:p>
            <w:pPr>
              <w:jc w:val="left"/>
            </w:pPr>
            <w:r>
              <w:rPr>
                <w:b w:val="false"/>
                <w:bCs w:val="false"/>
                <w:color w:val="222222"/>
                <w:sz w:val="18"/>
                <w:szCs w:val="18"/>
              </w:rPr>
              <w:t xml:space="preserve">Campaign performance, lead-to-deal conversion, campaign ROI, response rates</w:t>
            </w:r>
          </w:p>
        </w:tc>
      </w:tr>
      <w:tr>
        <w:tc>
          <w:tcPr>
            <w:tcW w:type="dxa" w:w="1800"/>
            <w:shd w:fill="EEF2FA" w:val="clear"/>
            <w:tcMar>
              <w:top w:type="dxa" w:w="60"/>
              <w:left w:type="dxa" w:w="100"/>
              <w:bottom w:type="dxa" w:w="60"/>
              <w:right w:type="dxa" w:w="100"/>
            </w:tcMar>
          </w:tcPr>
          <w:p>
            <w:pPr>
              <w:jc w:val="left"/>
            </w:pPr>
            <w:r>
              <w:rPr>
                <w:b w:val="false"/>
                <w:bCs w:val="false"/>
                <w:color w:val="222222"/>
                <w:sz w:val="18"/>
                <w:szCs w:val="18"/>
              </w:rPr>
              <w:t xml:space="preserve">Sales Pipeline</w:t>
            </w:r>
          </w:p>
        </w:tc>
        <w:tc>
          <w:tcPr>
            <w:tcW w:type="dxa" w:w="2900"/>
            <w:shd w:fill="EEF2FA" w:val="clear"/>
            <w:tcMar>
              <w:top w:type="dxa" w:w="60"/>
              <w:left w:type="dxa" w:w="100"/>
              <w:bottom w:type="dxa" w:w="60"/>
              <w:right w:type="dxa" w:w="100"/>
            </w:tcMar>
          </w:tcPr>
          <w:p>
            <w:pPr>
              <w:jc w:val="left"/>
            </w:pPr>
            <w:r>
              <w:rPr>
                <w:b w:val="false"/>
                <w:bCs w:val="false"/>
                <w:color w:val="222222"/>
                <w:sz w:val="18"/>
                <w:szCs w:val="18"/>
              </w:rPr>
              <w:t xml:space="preserve">Won/Lost counts; revenue by product; region x deal stage; deal value by company size; days to close</w:t>
            </w:r>
          </w:p>
        </w:tc>
        <w:tc>
          <w:tcPr>
            <w:tcW w:type="dxa" w:w="2200"/>
            <w:shd w:fill="EEF2FA" w:val="clear"/>
            <w:tcMar>
              <w:top w:type="dxa" w:w="60"/>
              <w:left w:type="dxa" w:w="100"/>
              <w:bottom w:type="dxa" w:w="60"/>
              <w:right w:type="dxa" w:w="100"/>
            </w:tcMar>
          </w:tcPr>
          <w:p>
            <w:pPr>
              <w:jc w:val="left"/>
            </w:pPr>
            <w:r>
              <w:rPr>
                <w:b w:val="false"/>
                <w:bCs w:val="false"/>
                <w:color w:val="222222"/>
                <w:sz w:val="18"/>
                <w:szCs w:val="18"/>
              </w:rPr>
              <w:t xml:space="preserve">Sales region, manager, product line, date range, deal stage</w:t>
            </w:r>
          </w:p>
        </w:tc>
        <w:tc>
          <w:tcPr>
            <w:tcW w:type="dxa" w:w="2200"/>
            <w:shd w:fill="EEF2FA" w:val="clear"/>
            <w:tcMar>
              <w:top w:type="dxa" w:w="60"/>
              <w:left w:type="dxa" w:w="100"/>
              <w:bottom w:type="dxa" w:w="60"/>
              <w:right w:type="dxa" w:w="100"/>
            </w:tcMar>
          </w:tcPr>
          <w:p>
            <w:pPr>
              <w:jc w:val="left"/>
            </w:pPr>
            <w:r>
              <w:rPr>
                <w:b w:val="false"/>
                <w:bCs w:val="false"/>
                <w:color w:val="222222"/>
                <w:sz w:val="18"/>
                <w:szCs w:val="18"/>
              </w:rPr>
              <w:t xml:space="preserve">Deal outcomes, revenue by segment/product, win rates, days to close, avg. deal value</w:t>
            </w:r>
          </w:p>
        </w:tc>
      </w:tr>
      <w:tr>
        <w:tc>
          <w:tcPr>
            <w:tcW w:type="dxa" w:w="1800"/>
            <w:tcMar>
              <w:top w:type="dxa" w:w="60"/>
              <w:left w:type="dxa" w:w="100"/>
              <w:bottom w:type="dxa" w:w="60"/>
              <w:right w:type="dxa" w:w="100"/>
            </w:tcMar>
          </w:tcPr>
          <w:p>
            <w:pPr>
              <w:jc w:val="left"/>
            </w:pPr>
            <w:r>
              <w:rPr>
                <w:b w:val="false"/>
                <w:bCs w:val="false"/>
                <w:color w:val="222222"/>
                <w:sz w:val="18"/>
                <w:szCs w:val="18"/>
              </w:rPr>
              <w:t xml:space="preserve">Customer Health</w:t>
            </w:r>
          </w:p>
        </w:tc>
        <w:tc>
          <w:tcPr>
            <w:tcW w:type="dxa" w:w="2900"/>
            <w:tcMar>
              <w:top w:type="dxa" w:w="60"/>
              <w:left w:type="dxa" w:w="100"/>
              <w:bottom w:type="dxa" w:w="60"/>
              <w:right w:type="dxa" w:w="100"/>
            </w:tcMar>
          </w:tcPr>
          <w:p>
            <w:pPr>
              <w:jc w:val="left"/>
            </w:pPr>
            <w:r>
              <w:rPr>
                <w:b w:val="false"/>
                <w:bCs w:val="false"/>
                <w:color w:val="222222"/>
                <w:sz w:val="18"/>
                <w:szCs w:val="18"/>
              </w:rPr>
              <w:t xml:space="preserve">Tickets by account; resolution time by priority; product-area volume; sentiment split; at-risk accounts table</w:t>
            </w:r>
          </w:p>
        </w:tc>
        <w:tc>
          <w:tcPr>
            <w:tcW w:type="dxa" w:w="2200"/>
            <w:tcMar>
              <w:top w:type="dxa" w:w="60"/>
              <w:left w:type="dxa" w:w="100"/>
              <w:bottom w:type="dxa" w:w="60"/>
              <w:right w:type="dxa" w:w="100"/>
            </w:tcMar>
          </w:tcPr>
          <w:p>
            <w:pPr>
              <w:jc w:val="left"/>
            </w:pPr>
            <w:r>
              <w:rPr>
                <w:b w:val="false"/>
                <w:bCs w:val="false"/>
                <w:color w:val="222222"/>
                <w:sz w:val="18"/>
                <w:szCs w:val="18"/>
              </w:rPr>
              <w:t xml:space="preserve">Account, priority, product area, customer tier, region</w:t>
            </w:r>
          </w:p>
        </w:tc>
        <w:tc>
          <w:tcPr>
            <w:tcW w:type="dxa" w:w="2200"/>
            <w:tcMar>
              <w:top w:type="dxa" w:w="60"/>
              <w:left w:type="dxa" w:w="100"/>
              <w:bottom w:type="dxa" w:w="60"/>
              <w:right w:type="dxa" w:w="100"/>
            </w:tcMar>
          </w:tcPr>
          <w:p>
            <w:pPr>
              <w:jc w:val="left"/>
            </w:pPr>
            <w:r>
              <w:rPr>
                <w:b w:val="false"/>
                <w:bCs w:val="false"/>
                <w:color w:val="222222"/>
                <w:sz w:val="18"/>
                <w:szCs w:val="18"/>
              </w:rPr>
              <w:t xml:space="preserve">Ticket volume, resolution times, product issues, sentiment, combined risk indicators</w:t>
            </w:r>
          </w:p>
        </w:tc>
      </w:tr>
    </w:tbl>
    <w:p>
      <w:pPr>
        <w:spacing w:after="140"/>
      </w:pPr>
    </w:p>
    <w:p>
      <w:pPr>
        <w:spacing w:after="120"/>
        <w:jc w:val="both"/>
      </w:pPr>
      <w:r>
        <w:rPr>
          <w:color w:val="222222"/>
          <w:sz w:val="21"/>
          <w:szCs w:val="21"/>
        </w:rPr>
        <w:t xml:space="preserve">A key technical decision was how to build the Customer Health sheet's combined risk indicator (high ticket volume + negative sentiment + high deal value on the same account), since it needed CRM and Support Tickets fields side by side at the account level. Joining the two raw, row-level tables directly on account_id would have caused a fan-out (each account has many deals and many tickets, so a direct join multiplies rows and inflates every total). Instead, each source was first aggregated to one row per account_id, and the two account-level summaries were then joined 1:1 — an aggregate-then-join pattern that produced a clean 85-row Account Risk Summary dataset with no double-counting.</w:t>
      </w:r>
    </w:p>
    <w:p>
      <w:pPr>
        <w:pStyle w:val="Heading1"/>
        <w:spacing w:after="140" w:before="320"/>
      </w:pPr>
      <w:r>
        <w:t xml:space="preserve">4. Amazon Q Configuration</w:t>
      </w:r>
    </w:p>
    <w:p>
      <w:pPr>
        <w:spacing w:after="120"/>
        <w:jc w:val="both"/>
      </w:pPr>
      <w:r>
        <w:rPr>
          <w:color w:val="222222"/>
          <w:sz w:val="21"/>
          <w:szCs w:val="21"/>
        </w:rPr>
        <w:t xml:space="preserve">A Topic named "NovaTech Revenue Intelligence" was built over all three datasets, with explicit relationships defined on account_id in a hub-and-spoke pattern (CRM Deals as the hub, joined to Marketing Campaigns and Support Tickets). The Topic was published so it could be queried directly from the general Amazon Q chat interface, scoped to "Specific data" → the Topic. A separate attempt to link the Topic to the dashboard's own "Manage Q&amp;A" setting failed with a "Failed to link topic" error; this did not block natural-language exploration, since the Topic remained fully queryable on its own, and the dashboard's default dataset-scoped Q&amp;A continued to work independently.</w:t>
      </w:r>
    </w:p>
    <w:p>
      <w:pPr>
        <w:pStyle w:val="Heading1"/>
        <w:spacing w:after="140" w:before="320"/>
      </w:pPr>
      <w:r>
        <w:t xml:space="preserve">5. Natural-Language Exploration (Amazon Q vs. Dashboard)</w:t>
      </w:r>
    </w:p>
    <w:p>
      <w:pPr>
        <w:spacing w:after="120"/>
        <w:jc w:val="both"/>
      </w:pPr>
      <w:r>
        <w:rPr>
          <w:color w:val="222222"/>
          <w:sz w:val="21"/>
          <w:szCs w:val="21"/>
        </w:rPr>
        <w:t xml:space="preserve">Five business questions in the style of Sarah Chen's original brief were run through the Topic and cross-checked against the dashboard's own visuals: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3000"/>
        <w:gridCol w:w="2500"/>
        <w:gridCol w:w="900"/>
      </w:tblGrid>
      <w:tr>
        <w:trPr>
          <w:tblHeader/>
        </w:trPr>
        <w:tc>
          <w:tcPr>
            <w:tcW w:type="dxa" w:w="500"/>
            <w:shd w:fill="2F5FB3" w:val="clear"/>
            <w:tcMar>
              <w:top w:type="dxa" w:w="60"/>
              <w:left w:type="dxa" w:w="100"/>
              <w:bottom w:type="dxa" w:w="60"/>
              <w:right w:type="dxa" w:w="100"/>
            </w:tcMar>
          </w:tcPr>
          <w:p>
            <w:pPr>
              <w:jc w:val="left"/>
            </w:pPr>
            <w:r>
              <w:rPr>
                <w:b/>
                <w:bCs/>
                <w:color w:val="FFFFFF"/>
                <w:sz w:val="18"/>
                <w:szCs w:val="18"/>
              </w:rPr>
              <w:t xml:space="preserve">#</w:t>
            </w:r>
          </w:p>
        </w:tc>
        <w:tc>
          <w:tcPr>
            <w:tcW w:type="dxa" w:w="2500"/>
            <w:shd w:fill="2F5FB3" w:val="clear"/>
            <w:tcMar>
              <w:top w:type="dxa" w:w="60"/>
              <w:left w:type="dxa" w:w="100"/>
              <w:bottom w:type="dxa" w:w="60"/>
              <w:right w:type="dxa" w:w="100"/>
            </w:tcMar>
          </w:tcPr>
          <w:p>
            <w:pPr>
              <w:jc w:val="left"/>
            </w:pPr>
            <w:r>
              <w:rPr>
                <w:b/>
                <w:bCs/>
                <w:color w:val="FFFFFF"/>
                <w:sz w:val="18"/>
                <w:szCs w:val="18"/>
              </w:rPr>
              <w:t xml:space="preserve">Question</w:t>
            </w:r>
          </w:p>
        </w:tc>
        <w:tc>
          <w:tcPr>
            <w:tcW w:type="dxa" w:w="3000"/>
            <w:shd w:fill="2F5FB3" w:val="clear"/>
            <w:tcMar>
              <w:top w:type="dxa" w:w="60"/>
              <w:left w:type="dxa" w:w="100"/>
              <w:bottom w:type="dxa" w:w="60"/>
              <w:right w:type="dxa" w:w="100"/>
            </w:tcMar>
          </w:tcPr>
          <w:p>
            <w:pPr>
              <w:jc w:val="left"/>
            </w:pPr>
            <w:r>
              <w:rPr>
                <w:b/>
                <w:bCs/>
                <w:color w:val="FFFFFF"/>
                <w:sz w:val="18"/>
                <w:szCs w:val="18"/>
              </w:rPr>
              <w:t xml:space="preserve">Q's Finding</w:t>
            </w:r>
          </w:p>
        </w:tc>
        <w:tc>
          <w:tcPr>
            <w:tcW w:type="dxa" w:w="2500"/>
            <w:shd w:fill="2F5FB3" w:val="clear"/>
            <w:tcMar>
              <w:top w:type="dxa" w:w="60"/>
              <w:left w:type="dxa" w:w="100"/>
              <w:bottom w:type="dxa" w:w="60"/>
              <w:right w:type="dxa" w:w="100"/>
            </w:tcMar>
          </w:tcPr>
          <w:p>
            <w:pPr>
              <w:jc w:val="left"/>
            </w:pPr>
            <w:r>
              <w:rPr>
                <w:b/>
                <w:bCs/>
                <w:color w:val="FFFFFF"/>
                <w:sz w:val="18"/>
                <w:szCs w:val="18"/>
              </w:rPr>
              <w:t xml:space="preserve">Dashboard Cross-Check</w:t>
            </w:r>
          </w:p>
        </w:tc>
        <w:tc>
          <w:tcPr>
            <w:tcW w:type="dxa" w:w="900"/>
            <w:shd w:fill="2F5FB3" w:val="clear"/>
            <w:tcMar>
              <w:top w:type="dxa" w:w="60"/>
              <w:left w:type="dxa" w:w="100"/>
              <w:bottom w:type="dxa" w:w="60"/>
              <w:right w:type="dxa" w:w="100"/>
            </w:tcMar>
          </w:tcPr>
          <w:p>
            <w:pPr>
              <w:jc w:val="left"/>
            </w:pPr>
            <w:r>
              <w:rPr>
                <w:b/>
                <w:bCs/>
                <w:color w:val="FFFFFF"/>
                <w:sz w:val="18"/>
                <w:szCs w:val="18"/>
              </w:rPr>
              <w:t xml:space="preserve">Match</w:t>
            </w:r>
          </w:p>
        </w:tc>
      </w:tr>
      <w:tr>
        <w:tc>
          <w:tcPr>
            <w:tcW w:type="dxa" w:w="500"/>
            <w:tcMar>
              <w:top w:type="dxa" w:w="60"/>
              <w:left w:type="dxa" w:w="100"/>
              <w:bottom w:type="dxa" w:w="60"/>
              <w:right w:type="dxa" w:w="100"/>
            </w:tcMar>
          </w:tcPr>
          <w:p>
            <w:pPr>
              <w:jc w:val="left"/>
            </w:pPr>
            <w:r>
              <w:rPr>
                <w:b w:val="false"/>
                <w:bCs w:val="false"/>
                <w:color w:val="222222"/>
                <w:sz w:val="18"/>
                <w:szCs w:val="18"/>
              </w:rPr>
              <w:t xml:space="preserve">1</w:t>
            </w:r>
          </w:p>
        </w:tc>
        <w:tc>
          <w:tcPr>
            <w:tcW w:type="dxa" w:w="2500"/>
            <w:tcMar>
              <w:top w:type="dxa" w:w="60"/>
              <w:left w:type="dxa" w:w="100"/>
              <w:bottom w:type="dxa" w:w="60"/>
              <w:right w:type="dxa" w:w="100"/>
            </w:tcMar>
          </w:tcPr>
          <w:p>
            <w:pPr>
              <w:jc w:val="left"/>
            </w:pPr>
            <w:r>
              <w:rPr>
                <w:b w:val="false"/>
                <w:bCs w:val="false"/>
                <w:color w:val="222222"/>
                <w:sz w:val="18"/>
                <w:szCs w:val="18"/>
              </w:rPr>
              <w:t xml:space="preserve">Highest-converting campaign channel?</w:t>
            </w:r>
          </w:p>
        </w:tc>
        <w:tc>
          <w:tcPr>
            <w:tcW w:type="dxa" w:w="3000"/>
            <w:tcMar>
              <w:top w:type="dxa" w:w="60"/>
              <w:left w:type="dxa" w:w="100"/>
              <w:bottom w:type="dxa" w:w="60"/>
              <w:right w:type="dxa" w:w="100"/>
            </w:tcMar>
          </w:tcPr>
          <w:p>
            <w:pPr>
              <w:jc w:val="left"/>
            </w:pPr>
            <w:r>
              <w:rPr>
                <w:b w:val="false"/>
                <w:bCs w:val="false"/>
                <w:color w:val="222222"/>
                <w:sz w:val="18"/>
                <w:szCs w:val="18"/>
              </w:rPr>
              <w:t xml:space="preserve">Direct Mail, 48.99% (73/149 leads)</w:t>
            </w:r>
          </w:p>
        </w:tc>
        <w:tc>
          <w:tcPr>
            <w:tcW w:type="dxa" w:w="2500"/>
            <w:tcMar>
              <w:top w:type="dxa" w:w="60"/>
              <w:left w:type="dxa" w:w="100"/>
              <w:bottom w:type="dxa" w:w="60"/>
              <w:right w:type="dxa" w:w="100"/>
            </w:tcMar>
          </w:tcPr>
          <w:p>
            <w:pPr>
              <w:jc w:val="left"/>
            </w:pPr>
            <w:r>
              <w:rPr>
                <w:b w:val="false"/>
                <w:bCs w:val="false"/>
                <w:color w:val="222222"/>
                <w:sz w:val="18"/>
                <w:szCs w:val="18"/>
              </w:rPr>
              <w:t xml:space="preserve">"Avg. Campaign_response by Channel" — Direct Mail highest</w:t>
            </w:r>
          </w:p>
        </w:tc>
        <w:tc>
          <w:tcPr>
            <w:tcW w:type="dxa" w:w="900"/>
            <w:tcMar>
              <w:top w:type="dxa" w:w="60"/>
              <w:left w:type="dxa" w:w="100"/>
              <w:bottom w:type="dxa" w:w="60"/>
              <w:right w:type="dxa" w:w="100"/>
            </w:tcMar>
          </w:tcPr>
          <w:p>
            <w:pPr>
              <w:jc w:val="left"/>
            </w:pPr>
            <w:r>
              <w:rPr>
                <w:b w:val="false"/>
                <w:bCs w:val="false"/>
                <w:color w:val="222222"/>
                <w:sz w:val="18"/>
                <w:szCs w:val="18"/>
              </w:rPr>
              <w:t xml:space="preserve">Yes</w:t>
            </w:r>
          </w:p>
        </w:tc>
      </w:tr>
      <w:tr>
        <w:tc>
          <w:tcPr>
            <w:tcW w:type="dxa" w:w="500"/>
            <w:shd w:fill="EEF2FA" w:val="clear"/>
            <w:tcMar>
              <w:top w:type="dxa" w:w="60"/>
              <w:left w:type="dxa" w:w="100"/>
              <w:bottom w:type="dxa" w:w="60"/>
              <w:right w:type="dxa" w:w="100"/>
            </w:tcMar>
          </w:tcPr>
          <w:p>
            <w:pPr>
              <w:jc w:val="left"/>
            </w:pPr>
            <w:r>
              <w:rPr>
                <w:b w:val="false"/>
                <w:bCs w:val="false"/>
                <w:color w:val="222222"/>
                <w:sz w:val="18"/>
                <w:szCs w:val="18"/>
              </w:rPr>
              <w:t xml:space="preserve">2</w:t>
            </w:r>
          </w:p>
        </w:tc>
        <w:tc>
          <w:tcPr>
            <w:tcW w:type="dxa" w:w="2500"/>
            <w:shd w:fill="EEF2FA" w:val="clear"/>
            <w:tcMar>
              <w:top w:type="dxa" w:w="60"/>
              <w:left w:type="dxa" w:w="100"/>
              <w:bottom w:type="dxa" w:w="60"/>
              <w:right w:type="dxa" w:w="100"/>
            </w:tcMar>
          </w:tcPr>
          <w:p>
            <w:pPr>
              <w:jc w:val="left"/>
            </w:pPr>
            <w:r>
              <w:rPr>
                <w:b w:val="false"/>
                <w:bCs w:val="false"/>
                <w:color w:val="222222"/>
                <w:sz w:val="18"/>
                <w:szCs w:val="18"/>
              </w:rPr>
              <w:t xml:space="preserve">Avg. deal size by company size?</w:t>
            </w:r>
          </w:p>
        </w:tc>
        <w:tc>
          <w:tcPr>
            <w:tcW w:type="dxa" w:w="3000"/>
            <w:shd w:fill="EEF2FA" w:val="clear"/>
            <w:tcMar>
              <w:top w:type="dxa" w:w="60"/>
              <w:left w:type="dxa" w:w="100"/>
              <w:bottom w:type="dxa" w:w="60"/>
              <w:right w:type="dxa" w:w="100"/>
            </w:tcMar>
          </w:tcPr>
          <w:p>
            <w:pPr>
              <w:jc w:val="left"/>
            </w:pPr>
            <w:r>
              <w:rPr>
                <w:b w:val="false"/>
                <w:bCs w:val="false"/>
                <w:color w:val="222222"/>
                <w:sz w:val="18"/>
                <w:szCs w:val="18"/>
              </w:rPr>
              <w:t xml:space="preserve">Enterprise $1,589 (highest); Large $1,257 (lowest, despite most deals)</w:t>
            </w:r>
          </w:p>
        </w:tc>
        <w:tc>
          <w:tcPr>
            <w:tcW w:type="dxa" w:w="2500"/>
            <w:shd w:fill="EEF2FA" w:val="clear"/>
            <w:tcMar>
              <w:top w:type="dxa" w:w="60"/>
              <w:left w:type="dxa" w:w="100"/>
              <w:bottom w:type="dxa" w:w="60"/>
              <w:right w:type="dxa" w:w="100"/>
            </w:tcMar>
          </w:tcPr>
          <w:p>
            <w:pPr>
              <w:jc w:val="left"/>
            </w:pPr>
            <w:r>
              <w:rPr>
                <w:b w:val="false"/>
                <w:bCs w:val="false"/>
                <w:color w:val="222222"/>
                <w:sz w:val="18"/>
                <w:szCs w:val="18"/>
              </w:rPr>
              <w:t xml:space="preserve">"Avg. Deal_value by Company_size_tier" — same ranking</w:t>
            </w:r>
          </w:p>
        </w:tc>
        <w:tc>
          <w:tcPr>
            <w:tcW w:type="dxa" w:w="900"/>
            <w:shd w:fill="EEF2FA" w:val="clear"/>
            <w:tcMar>
              <w:top w:type="dxa" w:w="60"/>
              <w:left w:type="dxa" w:w="100"/>
              <w:bottom w:type="dxa" w:w="60"/>
              <w:right w:type="dxa" w:w="100"/>
            </w:tcMar>
          </w:tcPr>
          <w:p>
            <w:pPr>
              <w:jc w:val="left"/>
            </w:pPr>
            <w:r>
              <w:rPr>
                <w:b w:val="false"/>
                <w:bCs w:val="false"/>
                <w:color w:val="222222"/>
                <w:sz w:val="18"/>
                <w:szCs w:val="18"/>
              </w:rPr>
              <w:t xml:space="preserve">Yes</w:t>
            </w:r>
          </w:p>
        </w:tc>
      </w:tr>
      <w:tr>
        <w:tc>
          <w:tcPr>
            <w:tcW w:type="dxa" w:w="500"/>
            <w:tcMar>
              <w:top w:type="dxa" w:w="60"/>
              <w:left w:type="dxa" w:w="100"/>
              <w:bottom w:type="dxa" w:w="60"/>
              <w:right w:type="dxa" w:w="100"/>
            </w:tcMar>
          </w:tcPr>
          <w:p>
            <w:pPr>
              <w:jc w:val="left"/>
            </w:pPr>
            <w:r>
              <w:rPr>
                <w:b w:val="false"/>
                <w:bCs w:val="false"/>
                <w:color w:val="222222"/>
                <w:sz w:val="18"/>
                <w:szCs w:val="18"/>
              </w:rPr>
              <w:t xml:space="preserve">3</w:t>
            </w:r>
          </w:p>
        </w:tc>
        <w:tc>
          <w:tcPr>
            <w:tcW w:type="dxa" w:w="2500"/>
            <w:tcMar>
              <w:top w:type="dxa" w:w="60"/>
              <w:left w:type="dxa" w:w="100"/>
              <w:bottom w:type="dxa" w:w="60"/>
              <w:right w:type="dxa" w:w="100"/>
            </w:tcMar>
          </w:tcPr>
          <w:p>
            <w:pPr>
              <w:jc w:val="left"/>
            </w:pPr>
            <w:r>
              <w:rPr>
                <w:b w:val="false"/>
                <w:bCs w:val="false"/>
                <w:color w:val="222222"/>
                <w:sz w:val="18"/>
                <w:szCs w:val="18"/>
              </w:rPr>
              <w:t xml:space="preserve">Resolution time, critical vs. low priority?</w:t>
            </w:r>
          </w:p>
        </w:tc>
        <w:tc>
          <w:tcPr>
            <w:tcW w:type="dxa" w:w="3000"/>
            <w:tcMar>
              <w:top w:type="dxa" w:w="60"/>
              <w:left w:type="dxa" w:w="100"/>
              <w:bottom w:type="dxa" w:w="60"/>
              <w:right w:type="dxa" w:w="100"/>
            </w:tcMar>
          </w:tcPr>
          <w:p>
            <w:pPr>
              <w:jc w:val="left"/>
            </w:pPr>
            <w:r>
              <w:rPr>
                <w:b w:val="false"/>
                <w:bCs w:val="false"/>
                <w:color w:val="222222"/>
                <w:sz w:val="18"/>
                <w:szCs w:val="18"/>
              </w:rPr>
              <w:t xml:space="preserve">Critical ~56h vs. Low ~61h (~8% faster)</w:t>
            </w:r>
          </w:p>
        </w:tc>
        <w:tc>
          <w:tcPr>
            <w:tcW w:type="dxa" w:w="2500"/>
            <w:tcMar>
              <w:top w:type="dxa" w:w="60"/>
              <w:left w:type="dxa" w:w="100"/>
              <w:bottom w:type="dxa" w:w="60"/>
              <w:right w:type="dxa" w:w="100"/>
            </w:tcMar>
          </w:tcPr>
          <w:p>
            <w:pPr>
              <w:jc w:val="left"/>
            </w:pPr>
            <w:r>
              <w:rPr>
                <w:b w:val="false"/>
                <w:bCs w:val="false"/>
                <w:color w:val="222222"/>
                <w:sz w:val="18"/>
                <w:szCs w:val="18"/>
              </w:rPr>
              <w:t xml:space="preserve">"Avg. Resolution_time_hours by Priority" — same direction</w:t>
            </w:r>
          </w:p>
        </w:tc>
        <w:tc>
          <w:tcPr>
            <w:tcW w:type="dxa" w:w="900"/>
            <w:tcMar>
              <w:top w:type="dxa" w:w="60"/>
              <w:left w:type="dxa" w:w="100"/>
              <w:bottom w:type="dxa" w:w="60"/>
              <w:right w:type="dxa" w:w="100"/>
            </w:tcMar>
          </w:tcPr>
          <w:p>
            <w:pPr>
              <w:jc w:val="left"/>
            </w:pPr>
            <w:r>
              <w:rPr>
                <w:b w:val="false"/>
                <w:bCs w:val="false"/>
                <w:color w:val="222222"/>
                <w:sz w:val="18"/>
                <w:szCs w:val="18"/>
              </w:rPr>
              <w:t xml:space="preserve">Partial*</w:t>
            </w:r>
          </w:p>
        </w:tc>
      </w:tr>
      <w:tr>
        <w:tc>
          <w:tcPr>
            <w:tcW w:type="dxa" w:w="500"/>
            <w:shd w:fill="EEF2FA" w:val="clear"/>
            <w:tcMar>
              <w:top w:type="dxa" w:w="60"/>
              <w:left w:type="dxa" w:w="100"/>
              <w:bottom w:type="dxa" w:w="60"/>
              <w:right w:type="dxa" w:w="100"/>
            </w:tcMar>
          </w:tcPr>
          <w:p>
            <w:pPr>
              <w:jc w:val="left"/>
            </w:pPr>
            <w:r>
              <w:rPr>
                <w:b w:val="false"/>
                <w:bCs w:val="false"/>
                <w:color w:val="222222"/>
                <w:sz w:val="18"/>
                <w:szCs w:val="18"/>
              </w:rPr>
              <w:t xml:space="preserve">4</w:t>
            </w:r>
          </w:p>
        </w:tc>
        <w:tc>
          <w:tcPr>
            <w:tcW w:type="dxa" w:w="2500"/>
            <w:shd w:fill="EEF2FA" w:val="clear"/>
            <w:tcMar>
              <w:top w:type="dxa" w:w="60"/>
              <w:left w:type="dxa" w:w="100"/>
              <w:bottom w:type="dxa" w:w="60"/>
              <w:right w:type="dxa" w:w="100"/>
            </w:tcMar>
          </w:tcPr>
          <w:p>
            <w:pPr>
              <w:jc w:val="left"/>
            </w:pPr>
            <w:r>
              <w:rPr>
                <w:b w:val="false"/>
                <w:bCs w:val="false"/>
                <w:color w:val="222222"/>
                <w:sz w:val="18"/>
                <w:szCs w:val="18"/>
              </w:rPr>
              <w:t xml:space="preserve">Top 10 accounts by ticket volume + deal revenue?</w:t>
            </w:r>
          </w:p>
        </w:tc>
        <w:tc>
          <w:tcPr>
            <w:tcW w:type="dxa" w:w="3000"/>
            <w:shd w:fill="EEF2FA" w:val="clear"/>
            <w:tcMar>
              <w:top w:type="dxa" w:w="60"/>
              <w:left w:type="dxa" w:w="100"/>
              <w:bottom w:type="dxa" w:w="60"/>
              <w:right w:type="dxa" w:w="100"/>
            </w:tcMar>
          </w:tcPr>
          <w:p>
            <w:pPr>
              <w:jc w:val="left"/>
            </w:pPr>
            <w:r>
              <w:rPr>
                <w:b w:val="false"/>
                <w:bCs w:val="false"/>
                <w:color w:val="222222"/>
                <w:sz w:val="18"/>
                <w:szCs w:val="18"/>
              </w:rPr>
              <w:t xml:space="preserve">YieldMax Software leads: 334 tickets, $40,722 deal value</w:t>
            </w:r>
          </w:p>
        </w:tc>
        <w:tc>
          <w:tcPr>
            <w:tcW w:type="dxa" w:w="2500"/>
            <w:shd w:fill="EEF2FA" w:val="clear"/>
            <w:tcMar>
              <w:top w:type="dxa" w:w="60"/>
              <w:left w:type="dxa" w:w="100"/>
              <w:bottom w:type="dxa" w:w="60"/>
              <w:right w:type="dxa" w:w="100"/>
            </w:tcMar>
          </w:tcPr>
          <w:p>
            <w:pPr>
              <w:jc w:val="left"/>
            </w:pPr>
            <w:r>
              <w:rPr>
                <w:b w:val="false"/>
                <w:bCs w:val="false"/>
                <w:color w:val="222222"/>
                <w:sz w:val="18"/>
                <w:szCs w:val="18"/>
              </w:rPr>
              <w:t xml:space="preserve">At-Risk Accounts table — exact match on top account</w:t>
            </w:r>
          </w:p>
        </w:tc>
        <w:tc>
          <w:tcPr>
            <w:tcW w:type="dxa" w:w="900"/>
            <w:shd w:fill="EEF2FA" w:val="clear"/>
            <w:tcMar>
              <w:top w:type="dxa" w:w="60"/>
              <w:left w:type="dxa" w:w="100"/>
              <w:bottom w:type="dxa" w:w="60"/>
              <w:right w:type="dxa" w:w="100"/>
            </w:tcMar>
          </w:tcPr>
          <w:p>
            <w:pPr>
              <w:jc w:val="left"/>
            </w:pPr>
            <w:r>
              <w:rPr>
                <w:b w:val="false"/>
                <w:bCs w:val="false"/>
                <w:color w:val="222222"/>
                <w:sz w:val="18"/>
                <w:szCs w:val="18"/>
              </w:rPr>
              <w:t xml:space="preserve">Yes</w:t>
            </w:r>
          </w:p>
        </w:tc>
      </w:tr>
      <w:tr>
        <w:tc>
          <w:tcPr>
            <w:tcW w:type="dxa" w:w="500"/>
            <w:tcMar>
              <w:top w:type="dxa" w:w="60"/>
              <w:left w:type="dxa" w:w="100"/>
              <w:bottom w:type="dxa" w:w="60"/>
              <w:right w:type="dxa" w:w="100"/>
            </w:tcMar>
          </w:tcPr>
          <w:p>
            <w:pPr>
              <w:jc w:val="left"/>
            </w:pPr>
            <w:r>
              <w:rPr>
                <w:b w:val="false"/>
                <w:bCs w:val="false"/>
                <w:color w:val="222222"/>
                <w:sz w:val="18"/>
                <w:szCs w:val="18"/>
              </w:rPr>
              <w:t xml:space="preserve">5</w:t>
            </w:r>
          </w:p>
        </w:tc>
        <w:tc>
          <w:tcPr>
            <w:tcW w:type="dxa" w:w="2500"/>
            <w:tcMar>
              <w:top w:type="dxa" w:w="60"/>
              <w:left w:type="dxa" w:w="100"/>
              <w:bottom w:type="dxa" w:w="60"/>
              <w:right w:type="dxa" w:w="100"/>
            </w:tcMar>
          </w:tcPr>
          <w:p>
            <w:pPr>
              <w:jc w:val="left"/>
            </w:pPr>
            <w:r>
              <w:rPr>
                <w:b w:val="false"/>
                <w:bCs w:val="false"/>
                <w:color w:val="222222"/>
                <w:sz w:val="18"/>
                <w:szCs w:val="18"/>
              </w:rPr>
              <w:t xml:space="preserve">Any campaigns spending more than they earned?</w:t>
            </w:r>
          </w:p>
        </w:tc>
        <w:tc>
          <w:tcPr>
            <w:tcW w:type="dxa" w:w="3000"/>
            <w:tcMar>
              <w:top w:type="dxa" w:w="60"/>
              <w:left w:type="dxa" w:w="100"/>
              <w:bottom w:type="dxa" w:w="60"/>
              <w:right w:type="dxa" w:w="100"/>
            </w:tcMar>
          </w:tcPr>
          <w:p>
            <w:pPr>
              <w:jc w:val="left"/>
            </w:pPr>
            <w:r>
              <w:rPr>
                <w:b w:val="false"/>
                <w:bCs w:val="false"/>
                <w:color w:val="222222"/>
                <w:sz w:val="18"/>
                <w:szCs w:val="18"/>
              </w:rPr>
              <w:t xml:space="preserve">All 6 campaigns show negative ROI; ~$11.2M combined unrecovered spend</w:t>
            </w:r>
          </w:p>
        </w:tc>
        <w:tc>
          <w:tcPr>
            <w:tcW w:type="dxa" w:w="2500"/>
            <w:tcMar>
              <w:top w:type="dxa" w:w="60"/>
              <w:left w:type="dxa" w:w="100"/>
              <w:bottom w:type="dxa" w:w="60"/>
              <w:right w:type="dxa" w:w="100"/>
            </w:tcMar>
          </w:tcPr>
          <w:p>
            <w:pPr>
              <w:jc w:val="left"/>
            </w:pPr>
            <w:r>
              <w:rPr>
                <w:b w:val="false"/>
                <w:bCs w:val="false"/>
                <w:color w:val="222222"/>
                <w:sz w:val="18"/>
                <w:szCs w:val="18"/>
              </w:rPr>
              <w:t xml:space="preserve">Spend vs. Revenue combo chart — same pattern across all 6</w:t>
            </w:r>
          </w:p>
        </w:tc>
        <w:tc>
          <w:tcPr>
            <w:tcW w:type="dxa" w:w="900"/>
            <w:tcMar>
              <w:top w:type="dxa" w:w="60"/>
              <w:left w:type="dxa" w:w="100"/>
              <w:bottom w:type="dxa" w:w="60"/>
              <w:right w:type="dxa" w:w="100"/>
            </w:tcMar>
          </w:tcPr>
          <w:p>
            <w:pPr>
              <w:jc w:val="left"/>
            </w:pPr>
            <w:r>
              <w:rPr>
                <w:b w:val="false"/>
                <w:bCs w:val="false"/>
                <w:color w:val="222222"/>
                <w:sz w:val="18"/>
                <w:szCs w:val="18"/>
              </w:rPr>
              <w:t xml:space="preserve">Yes</w:t>
            </w:r>
          </w:p>
        </w:tc>
      </w:tr>
    </w:tbl>
    <w:p>
      <w:pPr>
        <w:spacing w:after="120"/>
        <w:jc w:val="both"/>
      </w:pPr>
      <w:r>
        <w:rPr>
          <w:i/>
          <w:iCs/>
          <w:color w:val="666666"/>
          <w:sz w:val="18"/>
          <w:szCs w:val="18"/>
        </w:rPr>
        <w:t xml:space="preserve">*See Reflection below — the direction was correct but the underlying ticket counts Q cited did not match the data dictionary.</w:t>
      </w:r>
    </w:p>
    <w:p>
      <w:pPr>
        <w:spacing w:after="80"/>
      </w:pPr>
    </w:p>
    <w:p>
      <w:pPr>
        <w:pStyle w:val="Heading1"/>
        <w:spacing w:after="140" w:before="320"/>
      </w:pPr>
      <w:r>
        <w:t xml:space="preserve">6. Reflection</w:t>
      </w:r>
    </w:p>
    <w:p>
      <w:pPr>
        <w:pStyle w:val="Heading2"/>
        <w:spacing w:after="100" w:before="220"/>
      </w:pPr>
      <w:r>
        <w:t xml:space="preserve">Where did Q agree with the dashboard?</w:t>
      </w:r>
    </w:p>
    <w:p>
      <w:pPr>
        <w:spacing w:after="120"/>
        <w:jc w:val="both"/>
      </w:pPr>
      <w:r>
        <w:rPr>
          <w:color w:val="222222"/>
          <w:sz w:val="21"/>
          <w:szCs w:val="21"/>
        </w:rPr>
        <w:t xml:space="preserve">On 4 of 5 questions, Q's natural-language answers matched the dashboard's visuals exactly or near-exactly, down to specific figures (YieldMax Software's 334 tickets and $40,722 in deal value; the full 6-campaign spend-vs-revenue pattern; the Enterprise/Small/Medium/Large deal-size ordering; Direct Mail's lead in conversion/response rate). This is strong evidence that the Topic's cross-dataset relationships were configured correctly.</w:t>
      </w:r>
    </w:p>
    <w:p>
      <w:pPr>
        <w:pStyle w:val="Heading2"/>
        <w:spacing w:after="100" w:before="220"/>
      </w:pPr>
      <w:r>
        <w:t xml:space="preserve">Where did Q disagree or struggle, and why?</w:t>
      </w:r>
    </w:p>
    <w:p>
      <w:pPr>
        <w:spacing w:after="120"/>
        <w:jc w:val="both"/>
      </w:pPr>
      <w:r>
        <w:rPr>
          <w:color w:val="222222"/>
          <w:sz w:val="21"/>
          <w:szCs w:val="21"/>
        </w:rPr>
        <w:t xml:space="preserve">On the resolution-time question, Q's directional answer was correct (critical tickets resolve faster than low-priority ones) but the ticket-count figures it cited (819 critical / 26,706 low) were an order of magnitude off from the data dictionary's true counts (50 critical / 1,500 low). The most likely cause is a join fan-out: because the Topic relates Support Tickets to CRM Deals through account_id, and several accounts have multiple deals, ticket rows can be duplicated when Q aggregates counts across the joined model. Rate and ranking questions were unaffected — only a raw count question surfaced the issue.</w:t>
      </w:r>
    </w:p>
    <w:p>
      <w:pPr>
        <w:pStyle w:val="Heading2"/>
        <w:spacing w:after="100" w:before="220"/>
      </w:pPr>
      <w:r>
        <w:t xml:space="preserve">When would you use Q vs. the dashboard?</w:t>
      </w:r>
    </w:p>
    <w:p>
      <w:pPr>
        <w:spacing w:after="120"/>
        <w:jc w:val="both"/>
      </w:pPr>
      <w:r>
        <w:rPr>
          <w:color w:val="222222"/>
          <w:sz w:val="21"/>
          <w:szCs w:val="21"/>
        </w:rPr>
        <w:t xml:space="preserve">Q is fastest for one-off, natural-language questions — especially rankings and comparisons — and it is the only tool of the two that can reach unstructured sources, such as the company background PDF used for Verification Log entry #7. The dashboard is the more reliable source for exact counts across joined tables, since every visual's aggregation grain is visible and fan-out effects are easier to catch by inspection. In practice: use Q to explore and form a hypothesis quickly, and use the dashboard to confirm the exact numbers that go into a decision or a report.</w:t>
      </w:r>
    </w:p>
    <w:p>
      <w:pPr>
        <w:pStyle w:val="Heading1"/>
        <w:spacing w:after="140" w:before="320"/>
      </w:pPr>
      <w:r>
        <w:t xml:space="preserve">7. Key Business Insights &amp; Recommendations</w:t>
      </w:r>
    </w:p>
    <w:p>
      <w:pPr>
        <w:pStyle w:val="ListParagraph"/>
        <w:numPr>
          <w:ilvl w:val="0"/>
          <w:numId w:val="1"/>
        </w:numPr>
        <w:spacing w:after="80"/>
      </w:pPr>
      <w:r>
        <w:rPr>
          <w:b/>
          <w:bCs/>
          <w:color w:val="222222"/>
          <w:sz w:val="21"/>
          <w:szCs w:val="21"/>
        </w:rPr>
        <w:t xml:space="preserve">Partner Referral drives volume, Direct Mail drives efficiency. </w:t>
      </w:r>
      <w:r>
        <w:rPr>
          <w:color w:val="222222"/>
          <w:sz w:val="21"/>
          <w:szCs w:val="21"/>
        </w:rPr>
        <w:t xml:space="preserve">Partner Referral produces the most conversions (251) and revenue (~$680K), but Direct Mail converts leads at nearly double the rate (48.99% vs. 31.10%) on a much smaller base. Recommendation: pilot a modest increase in Direct Mail volume to test whether its efficiency holds at scale.</w:t>
      </w:r>
    </w:p>
    <w:p>
      <w:pPr>
        <w:pStyle w:val="ListParagraph"/>
        <w:numPr>
          <w:ilvl w:val="0"/>
          <w:numId w:val="1"/>
        </w:numPr>
        <w:spacing w:after="80"/>
      </w:pPr>
      <w:r>
        <w:rPr>
          <w:b/>
          <w:bCs/>
          <w:color w:val="222222"/>
          <w:sz w:val="21"/>
          <w:szCs w:val="21"/>
        </w:rPr>
        <w:t xml:space="preserve">Every campaign shows negative attributed ROI. </w:t>
      </w:r>
      <w:r>
        <w:rPr>
          <w:color w:val="222222"/>
          <w:sz w:val="21"/>
          <w:szCs w:val="21"/>
        </w:rPr>
        <w:t xml:space="preserve">All six campaigns have spend exceeding attributed revenue, for a combined unrecovered spend of roughly $11.2M; Digital Retarget has the largest gap (~$2.2M). Recommendation: review the revenue attribution model and reassess spend allocation, starting with Digital Retarget.</w:t>
      </w:r>
    </w:p>
    <w:p>
      <w:pPr>
        <w:pStyle w:val="ListParagraph"/>
        <w:numPr>
          <w:ilvl w:val="0"/>
          <w:numId w:val="1"/>
        </w:numPr>
        <w:spacing w:after="80"/>
      </w:pPr>
      <w:r>
        <w:rPr>
          <w:b/>
          <w:bCs/>
          <w:color w:val="222222"/>
          <w:sz w:val="21"/>
          <w:szCs w:val="21"/>
        </w:rPr>
        <w:t xml:space="preserve">Enterprise deals carry the highest per-deal value. </w:t>
      </w:r>
      <w:r>
        <w:rPr>
          <w:color w:val="222222"/>
          <w:sz w:val="21"/>
          <w:szCs w:val="21"/>
        </w:rPr>
        <w:t xml:space="preserve">Enterprise deals average $1,589 versus Large accounts' $1,257 average, despite Large having the most deals (216 vs. 201). Recommendation: weight sales capacity toward Enterprise-tier prospecting.</w:t>
      </w:r>
    </w:p>
    <w:p>
      <w:pPr>
        <w:pStyle w:val="ListParagraph"/>
        <w:numPr>
          <w:ilvl w:val="0"/>
          <w:numId w:val="1"/>
        </w:numPr>
        <w:spacing w:after="80"/>
      </w:pPr>
      <w:r>
        <w:rPr>
          <w:b/>
          <w:bCs/>
          <w:color w:val="222222"/>
          <w:sz w:val="21"/>
          <w:szCs w:val="21"/>
        </w:rPr>
        <w:t xml:space="preserve">A small set of accounts carries outsized support and churn risk. </w:t>
      </w:r>
      <w:r>
        <w:rPr>
          <w:color w:val="222222"/>
          <w:sz w:val="21"/>
          <w:szCs w:val="21"/>
        </w:rPr>
        <w:t xml:space="preserve">YieldMax Software leads all accounts with 334 tickets (63 negative-sentiment) against $40,722 in deal value, followed by TrueNorth Electronics and LionGate Holdings. Recommendation: prioritize proactive account-management outreach to these top at-risk accounts.</w:t>
      </w:r>
    </w:p>
    <w:p>
      <w:pPr>
        <w:pStyle w:val="ListParagraph"/>
        <w:numPr>
          <w:ilvl w:val="0"/>
          <w:numId w:val="1"/>
        </w:numPr>
        <w:spacing w:after="80"/>
      </w:pPr>
      <w:r>
        <w:rPr>
          <w:b/>
          <w:bCs/>
          <w:color w:val="222222"/>
          <w:sz w:val="21"/>
          <w:szCs w:val="21"/>
        </w:rPr>
        <w:t xml:space="preserve">Support load is heavily low-priority, and critical SLA gains are modest. </w:t>
      </w:r>
      <w:r>
        <w:rPr>
          <w:color w:val="222222"/>
          <w:sz w:val="21"/>
          <w:szCs w:val="21"/>
        </w:rPr>
        <w:t xml:space="preserve">Low-priority tickets make up 1,500 of 3,000 total (50%), with 59 (2%) unresolved; critical tickets resolve only about 8% faster than low-priority ones. Recommendation: evaluate whether critical-ticket SLAs should be tightened further.</w:t>
      </w:r>
    </w:p>
    <w:p>
      <w:pPr>
        <w:pStyle w:val="Heading1"/>
        <w:spacing w:after="140" w:before="320"/>
      </w:pPr>
      <w:r>
        <w:t xml:space="preserve">8. Conclusion</w:t>
      </w:r>
    </w:p>
    <w:p>
      <w:pPr>
        <w:spacing w:after="120"/>
        <w:jc w:val="both"/>
      </w:pPr>
      <w:r>
        <w:rPr>
          <w:color w:val="222222"/>
          <w:sz w:val="21"/>
          <w:szCs w:val="21"/>
        </w:rPr>
        <w:t xml:space="preserve">The NovaTech Revenue Intelligence Dashboard meets the brief's core requirement — a single, cross-linked view of Marketing, Sales, and Support data — and adds a validated natural-language layer on top. Every data point behind the dashboard's design was independently verified against the source data dictionary, and the natural-language layer was stress-tested against the dashboard itself rather than trusted blindly, surfacing one real limitation (count-based fan-out) alongside four confirmed strengths. The result is a tool Sarah Chen's team can both browse for curated answers and query directly for new ones, with a documented trail of exactly how each figure was checked.</w:t>
      </w:r>
    </w:p>
    <w:p>
      <w:pPr>
        <w:pStyle w:val="Heading1"/>
        <w:spacing w:after="140" w:before="320"/>
      </w:pPr>
      <w:r>
        <w:t xml:space="preserve">Appendix: Submitted Materials</w:t>
      </w:r>
    </w:p>
    <w:p>
      <w:pPr>
        <w:pStyle w:val="ListParagraph"/>
        <w:numPr>
          <w:ilvl w:val="0"/>
          <w:numId w:val="1"/>
        </w:numPr>
        <w:spacing w:after="80"/>
      </w:pPr>
      <w:r>
        <w:rPr>
          <w:color w:val="222222"/>
          <w:sz w:val="21"/>
          <w:szCs w:val="21"/>
        </w:rPr>
        <w:t xml:space="preserve">Verification_Log.md — 7 verification questions, all matched, plus the independent Cross-Check step.</w:t>
      </w:r>
    </w:p>
    <w:p>
      <w:pPr>
        <w:pStyle w:val="ListParagraph"/>
        <w:numPr>
          <w:ilvl w:val="0"/>
          <w:numId w:val="1"/>
        </w:numPr>
        <w:spacing w:after="80"/>
      </w:pPr>
      <w:r>
        <w:rPr>
          <w:color w:val="222222"/>
          <w:sz w:val="21"/>
          <w:szCs w:val="21"/>
        </w:rPr>
        <w:t xml:space="preserve">Q_Exploration_Log.md — the 5 business questions above, Q's answers, dashboard cross-checks, and the Reflection section.</w:t>
      </w:r>
    </w:p>
    <w:p>
      <w:pPr>
        <w:pStyle w:val="ListParagraph"/>
        <w:numPr>
          <w:ilvl w:val="0"/>
          <w:numId w:val="1"/>
        </w:numPr>
        <w:spacing w:after="80"/>
      </w:pPr>
      <w:r>
        <w:rPr>
          <w:color w:val="222222"/>
          <w:sz w:val="21"/>
          <w:szCs w:val="21"/>
        </w:rPr>
        <w:t xml:space="preserve">NovaTech Revenue Intelligence Dashboard — published, 3 sheets, live in the UdacityQuicksightLab QuickSight account.</w:t>
      </w:r>
    </w:p>
    <w:p>
      <w:pPr>
        <w:pStyle w:val="ListParagraph"/>
        <w:numPr>
          <w:ilvl w:val="0"/>
          <w:numId w:val="1"/>
        </w:numPr>
        <w:spacing w:after="80"/>
      </w:pPr>
      <w:r>
        <w:rPr>
          <w:color w:val="222222"/>
          <w:sz w:val="21"/>
          <w:szCs w:val="21"/>
        </w:rPr>
        <w:t xml:space="preserve">Screenshot_Annotation_Guide.md — per-sheet list of which visuals to capture, with the specific numbers and business call-outs for each.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2026-09-03T15:53:57.879Z</dcterms:created>
  <dcterms:modified xsi:type="dcterms:W3CDTF">2026-09-03T15:53:57.893Z</dcterms:modified>
</cp:coreProperties>
</file>

<file path=docProps/custom.xml><?xml version="1.0" encoding="utf-8"?>
<Properties xmlns="http://schemas.openxmlformats.org/officeDocument/2006/custom-properties" xmlns:vt="http://schemas.openxmlformats.org/officeDocument/2006/docPropsVTypes"/>
</file>