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D8846" w14:textId="77777777" w:rsidR="00365A9D" w:rsidRDefault="00000000">
      <w:pPr>
        <w:pStyle w:val="Titel"/>
      </w:pPr>
      <w:proofErr w:type="spellStart"/>
      <w:r>
        <w:rPr>
          <w:rFonts w:ascii="Calibri" w:eastAsia="Calibri" w:hAnsi="Calibri" w:cs="Calibri"/>
        </w:rPr>
        <w:t>NovaTech</w:t>
      </w:r>
      <w:proofErr w:type="spellEnd"/>
      <w:r>
        <w:rPr>
          <w:rFonts w:ascii="Calibri" w:eastAsia="Calibri" w:hAnsi="Calibri" w:cs="Calibri"/>
        </w:rPr>
        <w:t xml:space="preserve"> Q Exploration Log</w:t>
      </w:r>
    </w:p>
    <w:p w14:paraId="6C01B959" w14:textId="77777777" w:rsidR="00365A9D" w:rsidRDefault="00000000">
      <w:pPr>
        <w:spacing w:after="4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Student Name: </w:t>
      </w:r>
      <w:r>
        <w:rPr>
          <w:rFonts w:ascii="Calibri" w:eastAsia="Calibri" w:hAnsi="Calibri" w:cs="Calibri"/>
          <w:sz w:val="22"/>
          <w:szCs w:val="22"/>
        </w:rPr>
        <w:t>Ecem Bökenheide</w:t>
      </w:r>
    </w:p>
    <w:p w14:paraId="193075F5" w14:textId="77777777" w:rsidR="00365A9D" w:rsidRDefault="00000000">
      <w:pPr>
        <w:spacing w:after="24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Date: </w:t>
      </w:r>
      <w:r>
        <w:rPr>
          <w:rFonts w:ascii="Calibri" w:eastAsia="Calibri" w:hAnsi="Calibri" w:cs="Calibri"/>
          <w:sz w:val="22"/>
          <w:szCs w:val="22"/>
        </w:rPr>
        <w:t>September 1, 2026</w:t>
      </w:r>
    </w:p>
    <w:p w14:paraId="7329FDC2" w14:textId="77777777" w:rsidR="00365A9D" w:rsidRDefault="00000000">
      <w:pPr>
        <w:pStyle w:val="berschrift1"/>
        <w:spacing w:after="120"/>
      </w:pPr>
      <w:r>
        <w:rPr>
          <w:rFonts w:ascii="Calibri" w:eastAsia="Calibri" w:hAnsi="Calibri" w:cs="Calibri"/>
        </w:rPr>
        <w:t>Q Exploration Questions</w:t>
      </w:r>
    </w:p>
    <w:p w14:paraId="2CF8FFCD" w14:textId="77777777" w:rsidR="00365A9D" w:rsidRDefault="00000000">
      <w:pPr>
        <w:spacing w:after="160"/>
      </w:pPr>
      <w:r>
        <w:rPr>
          <w:rFonts w:ascii="Calibri" w:eastAsia="Calibri" w:hAnsi="Calibri" w:cs="Calibri"/>
          <w:i/>
          <w:iCs/>
        </w:rPr>
        <w:t>For each question, record Q's answer and cross-check against your dashboard.</w:t>
      </w:r>
    </w:p>
    <w:tbl>
      <w:tblPr>
        <w:tblW w:w="14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"/>
        <w:gridCol w:w="1681"/>
        <w:gridCol w:w="3842"/>
        <w:gridCol w:w="1700"/>
        <w:gridCol w:w="2273"/>
        <w:gridCol w:w="662"/>
        <w:gridCol w:w="3846"/>
      </w:tblGrid>
      <w:tr w:rsidR="00365A9D" w14:paraId="2E8E95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7A2CEB" w14:textId="77777777" w:rsidR="00365A9D" w:rsidRDefault="00000000"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A1E38" w14:textId="77777777" w:rsidR="00365A9D" w:rsidRDefault="00000000"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Question Asked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0624EE" w14:textId="77777777" w:rsidR="00365A9D" w:rsidRDefault="00000000"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Q's Answer (summarize)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C3AF75" w14:textId="77777777" w:rsidR="00365A9D" w:rsidRDefault="00000000"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Dashboard Visual Used to Cross-Check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2ECBAF" w14:textId="77777777" w:rsidR="00365A9D" w:rsidRDefault="00000000"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Dashboard Shows</w:t>
            </w:r>
          </w:p>
        </w:tc>
        <w:tc>
          <w:tcPr>
            <w:tcW w:w="5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48CA8C" w14:textId="77777777" w:rsidR="00365A9D" w:rsidRDefault="00000000"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Match?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8F2BC3" w14:textId="77777777" w:rsidR="00365A9D" w:rsidRDefault="00000000"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Notes</w:t>
            </w:r>
          </w:p>
        </w:tc>
      </w:tr>
      <w:tr w:rsidR="00365A9D" w14:paraId="431CB4A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0D4262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>1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B8677E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>Which campaign channel has the highest conversion rate?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6727F5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>Direct Mail has the highest conversion rate at 48.99% (73 conversions out of 149 leads). Full ranking: Direct Mail 48.99%, Partner Referral 31.10% (251 conversions, highest volume), Paid Social ~22.8%, Email 2.78%, Organic Search 0.89% (lowest, despite second-highest lead volume).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4E461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 xml:space="preserve">Marketing </w:t>
            </w:r>
            <w:proofErr w:type="gramStart"/>
            <w:r>
              <w:rPr>
                <w:rFonts w:ascii="Calibri" w:eastAsia="Calibri" w:hAnsi="Calibri" w:cs="Calibri"/>
                <w:sz w:val="16"/>
                <w:szCs w:val="16"/>
              </w:rPr>
              <w:t>Funnel — "</w:t>
            </w:r>
            <w:proofErr w:type="gram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Average of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Campaign_response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by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Campaign_channel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>"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6A392D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>Direct Mail has the highest average campaign response, followed by Paid Social, Partner Referral, Organic Search, and Email.</w:t>
            </w:r>
          </w:p>
        </w:tc>
        <w:tc>
          <w:tcPr>
            <w:tcW w:w="5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04851" w14:textId="77777777" w:rsidR="00365A9D" w:rsidRDefault="00000000"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~ Partial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32483" w14:textId="77777777" w:rsidR="00365A9D" w:rsidRDefault="00000000">
            <w:r>
              <w:rPr>
                <w:rFonts w:ascii="Calibri" w:hAnsi="Calibri"/>
                <w:sz w:val="16"/>
              </w:rPr>
              <w:t xml:space="preserve">Direct Mail ranks #1 in both measures, but </w:t>
            </w:r>
            <w:proofErr w:type="spellStart"/>
            <w:r>
              <w:rPr>
                <w:rFonts w:ascii="Calibri" w:hAnsi="Calibri"/>
                <w:sz w:val="16"/>
              </w:rPr>
              <w:t>campaign_response</w:t>
            </w:r>
            <w:proofErr w:type="spellEnd"/>
            <w:r>
              <w:rPr>
                <w:rFonts w:ascii="Calibri" w:hAnsi="Calibri"/>
                <w:sz w:val="16"/>
              </w:rPr>
              <w:t xml:space="preserve"> and lead-to-close conversion rate are different metrics. The remaining channel rankings differ, so the dashboard provides only a partial cross-check of Q's answer.</w:t>
            </w:r>
          </w:p>
        </w:tc>
      </w:tr>
      <w:tr w:rsidR="00365A9D" w14:paraId="37A3A9D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4BE05C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>2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EAF3E6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>What is the average deal size by company size?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9BAD86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>Enterprise has the highest average deal value at $1,589.17 across 201 deals. Large accounts, despite having the most deals (216), have the lowest average deal size at $1,257.47. Small and Medium tiers have far fewer deals (39 and 43</w:t>
            </w:r>
            <w:proofErr w:type="gramStart"/>
            <w:r>
              <w:rPr>
                <w:rFonts w:ascii="Calibri" w:eastAsia="Calibri" w:hAnsi="Calibri" w:cs="Calibri"/>
                <w:sz w:val="16"/>
                <w:szCs w:val="16"/>
              </w:rPr>
              <w:t>)</w:t>
            </w:r>
            <w:proofErr w:type="gram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so their averages are less statistically robust. Deal size does not scale linearly with company </w:t>
            </w:r>
            <w:proofErr w:type="gramStart"/>
            <w:r>
              <w:rPr>
                <w:rFonts w:ascii="Calibri" w:eastAsia="Calibri" w:hAnsi="Calibri" w:cs="Calibri"/>
                <w:sz w:val="16"/>
                <w:szCs w:val="16"/>
              </w:rPr>
              <w:t>size —</w:t>
            </w:r>
            <w:proofErr w:type="gram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Small </w:t>
            </w:r>
            <w:proofErr w:type="gramStart"/>
            <w:r>
              <w:rPr>
                <w:rFonts w:ascii="Calibri" w:eastAsia="Calibri" w:hAnsi="Calibri" w:cs="Calibri"/>
                <w:sz w:val="16"/>
                <w:szCs w:val="16"/>
              </w:rPr>
              <w:t>actually beats</w:t>
            </w:r>
            <w:proofErr w:type="gram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both Medium and Large.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5CC7E5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 xml:space="preserve">Sales </w:t>
            </w:r>
            <w:proofErr w:type="gramStart"/>
            <w:r>
              <w:rPr>
                <w:rFonts w:ascii="Calibri" w:eastAsia="Calibri" w:hAnsi="Calibri" w:cs="Calibri"/>
                <w:sz w:val="16"/>
                <w:szCs w:val="16"/>
              </w:rPr>
              <w:t>Pipeline — "</w:t>
            </w:r>
            <w:proofErr w:type="gram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Average of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Deal_value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by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Company_size_tier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>"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6D6A57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>Bars in descending order: Enterprise (~$1.59K, highest), Small (~$1.5K), Medium (~$1.35K), Large (~$1.26K, lowest).</w:t>
            </w:r>
          </w:p>
        </w:tc>
        <w:tc>
          <w:tcPr>
            <w:tcW w:w="5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9576C2" w14:textId="77777777" w:rsidR="00365A9D" w:rsidRDefault="00000000"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✔ Yes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F99A5D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>Exact ranking match: Enterprise highest, followed by Small, Medium, and Large lowest. The dashboard confirms the average deal-value ordering; deal-count comparisons are not shown in this visual.</w:t>
            </w:r>
          </w:p>
        </w:tc>
      </w:tr>
      <w:tr w:rsidR="00365A9D" w14:paraId="28DF2D8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B87973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>3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7F569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>What is the average resolution time for critical vs. low-priority tickets?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EA5AB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 xml:space="preserve">Critical tickets resolve about 5 hours faster on average (~56 hours) than Low-priority tickets (~61.02 </w:t>
            </w:r>
            <w:proofErr w:type="gramStart"/>
            <w:r>
              <w:rPr>
                <w:rFonts w:ascii="Calibri" w:eastAsia="Calibri" w:hAnsi="Calibri" w:cs="Calibri"/>
                <w:sz w:val="16"/>
                <w:szCs w:val="16"/>
              </w:rPr>
              <w:t>hours) —</w:t>
            </w:r>
            <w:proofErr w:type="gram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consistent with critical issues being escalated for quicker turnaround, though the gap is a modest ~8%. Low-priority tickets make up by far the largest ticket volume.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9679F3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 xml:space="preserve">Customer </w:t>
            </w:r>
            <w:proofErr w:type="gramStart"/>
            <w:r>
              <w:rPr>
                <w:rFonts w:ascii="Calibri" w:eastAsia="Calibri" w:hAnsi="Calibri" w:cs="Calibri"/>
                <w:sz w:val="16"/>
                <w:szCs w:val="16"/>
              </w:rPr>
              <w:t>Health — "</w:t>
            </w:r>
            <w:proofErr w:type="gram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Average of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Resolution_time_hours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by Priority"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11740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>All four priority bars cluster closely in the mid-to-high 50-hour range. Critical is visually the shortest, Low the longest, with High and Medium in between.</w:t>
            </w:r>
          </w:p>
        </w:tc>
        <w:tc>
          <w:tcPr>
            <w:tcW w:w="5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75C007" w14:textId="77777777" w:rsidR="00365A9D" w:rsidRDefault="00000000"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~ Partial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5494D9" w14:textId="77777777" w:rsidR="00365A9D" w:rsidRDefault="00000000">
            <w:r>
              <w:rPr>
                <w:rFonts w:ascii="Calibri" w:hAnsi="Calibri"/>
                <w:sz w:val="16"/>
              </w:rPr>
              <w:t xml:space="preserve">The direction is correct: Critical resolves fastest and Low resolves slowest. However, Q's roughly 5-hour gap appears larger than the dashboard visual, which suggests only about a </w:t>
            </w:r>
            <w:proofErr w:type="gramStart"/>
            <w:r>
              <w:rPr>
                <w:rFonts w:ascii="Calibri" w:hAnsi="Calibri"/>
                <w:sz w:val="16"/>
              </w:rPr>
              <w:t>2-3 hour</w:t>
            </w:r>
            <w:proofErr w:type="gramEnd"/>
            <w:r>
              <w:rPr>
                <w:rFonts w:ascii="Calibri" w:hAnsi="Calibri"/>
                <w:sz w:val="16"/>
              </w:rPr>
              <w:t xml:space="preserve"> difference, so this is a partial match.</w:t>
            </w:r>
          </w:p>
        </w:tc>
      </w:tr>
      <w:tr w:rsidR="00365A9D" w14:paraId="160ADB4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E2BF68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>4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D5BC11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>What are the top 10 accounts by support ticket volume, and what is their total deal revenue?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9CB65C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 xml:space="preserve">Ranked list led by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YieldMax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Software (ACCT-041) with 334 tickets and $40,722 in deal revenue — nearly double the next account. Followed by TrueNorth Electronics,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LionGate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Holdings,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AlphaCore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Technologies,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RedCedar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Software,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UltraLink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Communications,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MapleCrest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Retail,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HavenCrest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Communications,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PineRidge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Global, and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LakeView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Software.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UltraLink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MapleCrest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show the weakest revenue-to-ticket ratio (higher support burden relative to revenue).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0CCDA0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>Customer Health — "Top Accounts by Support Ticket Volume" + "Risk Indicators – At-Risk Accounts (High Tickets, Negative Sentiment, High Deal Value)" table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3943AC" w14:textId="77777777" w:rsidR="00365A9D" w:rsidRDefault="00000000">
            <w:r>
              <w:rPr>
                <w:rFonts w:ascii="Calibri" w:hAnsi="Calibri"/>
                <w:sz w:val="16"/>
              </w:rPr>
              <w:t xml:space="preserve">The Top Accounts by Support Ticket Volume chart shows the same top 10 accounts in the same order as Q: ACCT-041, 035, 076, 043, 060, 036, 020, 072, 025, and 018. The Risk Indicators table confirms the corresponding ticket counts and deal values, including </w:t>
            </w:r>
            <w:proofErr w:type="spellStart"/>
            <w:r>
              <w:rPr>
                <w:rFonts w:ascii="Calibri" w:hAnsi="Calibri"/>
                <w:sz w:val="16"/>
              </w:rPr>
              <w:t>YieldMax</w:t>
            </w:r>
            <w:proofErr w:type="spellEnd"/>
            <w:r>
              <w:rPr>
                <w:rFonts w:ascii="Calibri" w:hAnsi="Calibri"/>
                <w:sz w:val="16"/>
              </w:rPr>
              <w:t xml:space="preserve"> Software at 334 tickets and $40,722.</w:t>
            </w:r>
          </w:p>
        </w:tc>
        <w:tc>
          <w:tcPr>
            <w:tcW w:w="5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60170" w14:textId="77777777" w:rsidR="00365A9D" w:rsidRDefault="00000000">
            <w:r>
              <w:rPr>
                <w:rFonts w:ascii="Calibri" w:hAnsi="Calibri"/>
                <w:b/>
                <w:sz w:val="16"/>
              </w:rPr>
              <w:t>✔ Yes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D20B5D" w14:textId="77777777" w:rsidR="00365A9D" w:rsidRDefault="00000000">
            <w:r>
              <w:rPr>
                <w:rFonts w:ascii="Calibri" w:hAnsi="Calibri"/>
                <w:sz w:val="16"/>
              </w:rPr>
              <w:t xml:space="preserve">Q matches the dedicated support-ticket-volume chart. The Risk Indicators table is sorted by negative ticket count, not total ticket volume, so its row order is different; that does not contradict Q's </w:t>
            </w:r>
            <w:proofErr w:type="gramStart"/>
            <w:r>
              <w:rPr>
                <w:rFonts w:ascii="Calibri" w:hAnsi="Calibri"/>
                <w:sz w:val="16"/>
              </w:rPr>
              <w:t>top-10</w:t>
            </w:r>
            <w:proofErr w:type="gramEnd"/>
            <w:r>
              <w:rPr>
                <w:rFonts w:ascii="Calibri" w:hAnsi="Calibri"/>
                <w:sz w:val="16"/>
              </w:rPr>
              <w:t xml:space="preserve"> ranking.</w:t>
            </w:r>
          </w:p>
        </w:tc>
      </w:tr>
      <w:tr w:rsidR="00365A9D" w14:paraId="361574B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8B3398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>5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473147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 xml:space="preserve">Are there any campaigns where we </w:t>
            </w:r>
            <w:proofErr w:type="gramStart"/>
            <w:r>
              <w:rPr>
                <w:rFonts w:ascii="Calibri" w:eastAsia="Calibri" w:hAnsi="Calibri" w:cs="Calibri"/>
                <w:sz w:val="16"/>
                <w:szCs w:val="16"/>
              </w:rPr>
              <w:t>spent</w:t>
            </w:r>
            <w:proofErr w:type="gram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more than we earned back?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A2937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 xml:space="preserve">Yes — every one of the 6 campaigns has 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6"/>
                <w:szCs w:val="16"/>
              </w:rPr>
              <w:t>spend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exceeding attributed revenue, for a combined unrecovered spend of approximately $11.2M. Digital Retarget has the largest deficit (~$2.2M) despite being a </w:t>
            </w:r>
            <w:r>
              <w:rPr>
                <w:rFonts w:ascii="Calibri" w:eastAsia="Calibri" w:hAnsi="Calibri" w:cs="Calibri"/>
                <w:sz w:val="16"/>
                <w:szCs w:val="16"/>
              </w:rPr>
              <w:lastRenderedPageBreak/>
              <w:t xml:space="preserve">retargeting campaign meant for high conversion efficiency.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NovaPulse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Launch generated the most revenue ($394K) but still fell short by over $2M.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NovaEdge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Awareness has the smallest deficit but also the lowest revenue attribution ($34K).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4BF434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lastRenderedPageBreak/>
              <w:t xml:space="preserve">Marketing </w:t>
            </w:r>
            <w:proofErr w:type="gramStart"/>
            <w:r>
              <w:rPr>
                <w:rFonts w:ascii="Calibri" w:eastAsia="Calibri" w:hAnsi="Calibri" w:cs="Calibri"/>
                <w:sz w:val="16"/>
                <w:szCs w:val="16"/>
              </w:rPr>
              <w:t>Funnel — "</w:t>
            </w:r>
            <w:proofErr w:type="gram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Sum of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Campaign_spend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and Sum of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lastRenderedPageBreak/>
              <w:t>Revenue_attributed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by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Campaign_name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>" (combo chart)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444D6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lastRenderedPageBreak/>
              <w:t xml:space="preserve">Every campaign's spend bar is visibly much longer than its paired revenue bar, with Digital Retarget and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NovaPulse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Launch </w:t>
            </w:r>
            <w:r>
              <w:rPr>
                <w:rFonts w:ascii="Calibri" w:eastAsia="Calibri" w:hAnsi="Calibri" w:cs="Calibri"/>
                <w:sz w:val="16"/>
                <w:szCs w:val="16"/>
              </w:rPr>
              <w:lastRenderedPageBreak/>
              <w:t xml:space="preserve">showing the largest absolute gaps and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NovaEdge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Awareness the smallest.</w:t>
            </w:r>
          </w:p>
        </w:tc>
        <w:tc>
          <w:tcPr>
            <w:tcW w:w="5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318656" w14:textId="77777777" w:rsidR="00365A9D" w:rsidRDefault="00000000"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lastRenderedPageBreak/>
              <w:t>✔ Yes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FB3462" w14:textId="77777777" w:rsidR="00365A9D" w:rsidRDefault="00000000">
            <w:r>
              <w:rPr>
                <w:rFonts w:ascii="Calibri" w:eastAsia="Calibri" w:hAnsi="Calibri" w:cs="Calibri"/>
                <w:sz w:val="16"/>
                <w:szCs w:val="16"/>
              </w:rPr>
              <w:t xml:space="preserve">The dashboard confirms that </w:t>
            </w:r>
            <w:proofErr w:type="gramStart"/>
            <w:r>
              <w:rPr>
                <w:rFonts w:ascii="Calibri" w:eastAsia="Calibri" w:hAnsi="Calibri" w:cs="Calibri"/>
                <w:sz w:val="16"/>
                <w:szCs w:val="16"/>
              </w:rPr>
              <w:t>spend</w:t>
            </w:r>
            <w:proofErr w:type="gram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exceeds attributed revenue for all 6 campaigns.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NovaEdge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Awareness has the smallest absolute deficit, even though the separate </w:t>
            </w:r>
            <w:r>
              <w:rPr>
                <w:rFonts w:ascii="Calibri" w:eastAsia="Calibri" w:hAnsi="Calibri" w:cs="Calibri"/>
                <w:sz w:val="16"/>
                <w:szCs w:val="16"/>
              </w:rPr>
              <w:lastRenderedPageBreak/>
              <w:t xml:space="preserve">ROI chart shows it has the worst </w:t>
            </w:r>
            <w:proofErr w:type="gramStart"/>
            <w:r>
              <w:rPr>
                <w:rFonts w:ascii="Calibri" w:eastAsia="Calibri" w:hAnsi="Calibri" w:cs="Calibri"/>
                <w:sz w:val="16"/>
                <w:szCs w:val="16"/>
              </w:rPr>
              <w:t>percentage</w:t>
            </w:r>
            <w:proofErr w:type="gram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ROI; those are different measures and are not contradictory.</w:t>
            </w:r>
          </w:p>
        </w:tc>
      </w:tr>
    </w:tbl>
    <w:p w14:paraId="702B2D2D" w14:textId="77777777" w:rsidR="005015CD" w:rsidRDefault="005015CD"/>
    <w:sectPr w:rsidR="005015CD"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AA53E5"/>
    <w:multiLevelType w:val="hybridMultilevel"/>
    <w:tmpl w:val="62B6749C"/>
    <w:lvl w:ilvl="0" w:tplc="1444DAB0">
      <w:start w:val="1"/>
      <w:numFmt w:val="bullet"/>
      <w:lvlText w:val="●"/>
      <w:lvlJc w:val="left"/>
      <w:pPr>
        <w:ind w:left="720" w:hanging="360"/>
      </w:pPr>
    </w:lvl>
    <w:lvl w:ilvl="1" w:tplc="323C9EFE">
      <w:start w:val="1"/>
      <w:numFmt w:val="bullet"/>
      <w:lvlText w:val="○"/>
      <w:lvlJc w:val="left"/>
      <w:pPr>
        <w:ind w:left="1440" w:hanging="360"/>
      </w:pPr>
    </w:lvl>
    <w:lvl w:ilvl="2" w:tplc="24C055D0">
      <w:start w:val="1"/>
      <w:numFmt w:val="bullet"/>
      <w:lvlText w:val="■"/>
      <w:lvlJc w:val="left"/>
      <w:pPr>
        <w:ind w:left="2160" w:hanging="360"/>
      </w:pPr>
    </w:lvl>
    <w:lvl w:ilvl="3" w:tplc="6B2E530E">
      <w:start w:val="1"/>
      <w:numFmt w:val="bullet"/>
      <w:lvlText w:val="●"/>
      <w:lvlJc w:val="left"/>
      <w:pPr>
        <w:ind w:left="2880" w:hanging="360"/>
      </w:pPr>
    </w:lvl>
    <w:lvl w:ilvl="4" w:tplc="C07CF650">
      <w:start w:val="1"/>
      <w:numFmt w:val="bullet"/>
      <w:lvlText w:val="○"/>
      <w:lvlJc w:val="left"/>
      <w:pPr>
        <w:ind w:left="3600" w:hanging="360"/>
      </w:pPr>
    </w:lvl>
    <w:lvl w:ilvl="5" w:tplc="E670FD4E">
      <w:start w:val="1"/>
      <w:numFmt w:val="bullet"/>
      <w:lvlText w:val="■"/>
      <w:lvlJc w:val="left"/>
      <w:pPr>
        <w:ind w:left="4320" w:hanging="360"/>
      </w:pPr>
    </w:lvl>
    <w:lvl w:ilvl="6" w:tplc="533803BC">
      <w:start w:val="1"/>
      <w:numFmt w:val="bullet"/>
      <w:lvlText w:val="●"/>
      <w:lvlJc w:val="left"/>
      <w:pPr>
        <w:ind w:left="5040" w:hanging="360"/>
      </w:pPr>
    </w:lvl>
    <w:lvl w:ilvl="7" w:tplc="A2460A0A">
      <w:start w:val="1"/>
      <w:numFmt w:val="bullet"/>
      <w:lvlText w:val="●"/>
      <w:lvlJc w:val="left"/>
      <w:pPr>
        <w:ind w:left="5760" w:hanging="360"/>
      </w:pPr>
    </w:lvl>
    <w:lvl w:ilvl="8" w:tplc="A6B4EFB4">
      <w:start w:val="1"/>
      <w:numFmt w:val="bullet"/>
      <w:lvlText w:val="●"/>
      <w:lvlJc w:val="left"/>
      <w:pPr>
        <w:ind w:left="6480" w:hanging="360"/>
      </w:pPr>
    </w:lvl>
  </w:abstractNum>
  <w:num w:numId="1" w16cid:durableId="6239736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5A9D"/>
    <w:rsid w:val="00205BF7"/>
    <w:rsid w:val="002D4A66"/>
    <w:rsid w:val="00365A9D"/>
    <w:rsid w:val="005015CD"/>
    <w:rsid w:val="00756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A3AF5"/>
  <w15:docId w15:val="{56B01DFD-70E3-4D08-B8C8-B7A8EB6D4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738</Words>
  <Characters>4248</Characters>
  <Application>Microsoft Office Word</Application>
  <DocSecurity>0</DocSecurity>
  <Lines>169</Lines>
  <Paragraphs>54</Paragraphs>
  <ScaleCrop>false</ScaleCrop>
  <Company/>
  <LinksUpToDate>false</LinksUpToDate>
  <CharactersWithSpaces>4932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Ecem Bökenheide</cp:lastModifiedBy>
  <cp:revision>2</cp:revision>
  <dcterms:created xsi:type="dcterms:W3CDTF">2026-09-13T17:41:00Z</dcterms:created>
  <dcterms:modified xsi:type="dcterms:W3CDTF">2026-09-13T17:41:00Z</dcterms:modified>
</cp:coreProperties>
</file>