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NovaTech Q Exploration Log</w:t>
      </w:r>
    </w:p>
    <w:p>
      <w:pPr>
        <w:spacing w:after="40"/>
      </w:pPr>
      <w:r>
        <w:rPr>
          <w:rFonts w:ascii="Calibri" w:cs="Calibri" w:eastAsia="Calibri" w:hAnsi="Calibri"/>
          <w:b/>
          <w:bCs/>
          <w:sz w:val="22"/>
          <w:szCs w:val="22"/>
        </w:rPr>
        <w:t xml:space="preserve">Student Name: </w:t>
      </w:r>
      <w:r>
        <w:rPr>
          <w:rFonts w:ascii="Calibri" w:cs="Calibri" w:eastAsia="Calibri" w:hAnsi="Calibri"/>
          <w:sz w:val="22"/>
          <w:szCs w:val="22"/>
        </w:rPr>
        <w:t xml:space="preserve">Ecem Bökenheide</w:t>
      </w:r>
    </w:p>
    <w:p>
      <w:pPr>
        <w:spacing w:after="240"/>
      </w:pPr>
      <w:r>
        <w:rPr>
          <w:rFonts w:ascii="Calibri" w:cs="Calibri" w:eastAsia="Calibri" w:hAnsi="Calibri"/>
          <w:b/>
          <w:bCs/>
          <w:sz w:val="22"/>
          <w:szCs w:val="22"/>
        </w:rPr>
        <w:t xml:space="preserve">Date: </w:t>
      </w:r>
      <w:r>
        <w:rPr>
          <w:rFonts w:ascii="Calibri" w:cs="Calibri" w:eastAsia="Calibri" w:hAnsi="Calibri"/>
          <w:sz w:val="22"/>
          <w:szCs w:val="22"/>
        </w:rPr>
        <w:t xml:space="preserve">September 1, 2026</w:t>
      </w:r>
    </w:p>
    <w:p>
      <w:pPr>
        <w:pStyle w:val="Heading1"/>
        <w:spacing w:after="120"/>
      </w:pPr>
      <w:r>
        <w:rPr>
          <w:rFonts w:ascii="Calibri" w:cs="Calibri" w:eastAsia="Calibri" w:hAnsi="Calibri"/>
        </w:rPr>
        <w:t xml:space="preserve">Q Exploration Questions</w:t>
      </w:r>
    </w:p>
    <w:p>
      <w:pPr>
        <w:spacing w:after="160"/>
      </w:pPr>
      <w:r>
        <w:rPr>
          <w:rFonts w:ascii="Calibri" w:cs="Calibri" w:eastAsia="Calibri" w:hAnsi="Calibri"/>
          <w:i/>
          <w:iCs/>
          <w:sz w:val="20"/>
          <w:szCs w:val="20"/>
        </w:rPr>
        <w:t xml:space="preserve">For each question, record Q's answer and cross-check against your dashboard.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900"/>
        <w:gridCol w:w="1700"/>
        <w:gridCol w:w="2300"/>
        <w:gridCol w:w="500"/>
        <w:gridCol w:w="3900"/>
      </w:tblGrid>
      <w:tr>
        <w:trPr>
          <w:tblHeader/>
        </w:trPr>
        <w:tc>
          <w:tcPr>
            <w:tcW w:type="dxa" w:w="400"/>
            <w:shd w:fill="D9D9D9" w:color="auto" w:val="clear"/>
            <w:tcMar>
              <w:top w:type="dxa" w:w="80"/>
              <w:left w:type="dxa" w:w="80"/>
              <w:bottom w:type="dxa" w:w="80"/>
              <w:right w:type="dxa" w:w="80"/>
            </w:tcMar>
            <w:vAlign w:val="top"/>
          </w:tcPr>
          <w:p>
            <w:r>
              <w:rPr>
                <w:rFonts w:ascii="Calibri" w:cs="Calibri" w:eastAsia="Calibri" w:hAnsi="Calibri"/>
                <w:b/>
                <w:bCs/>
                <w:sz w:val="16"/>
                <w:szCs w:val="16"/>
              </w:rPr>
              <w:t xml:space="preserve">#</w:t>
            </w:r>
          </w:p>
        </w:tc>
        <w:tc>
          <w:tcPr>
            <w:tcW w:type="dxa" w:w="1700"/>
            <w:shd w:fill="D9D9D9" w:color="auto" w:val="clear"/>
            <w:tcMar>
              <w:top w:type="dxa" w:w="80"/>
              <w:left w:type="dxa" w:w="80"/>
              <w:bottom w:type="dxa" w:w="80"/>
              <w:right w:type="dxa" w:w="80"/>
            </w:tcMar>
            <w:vAlign w:val="top"/>
          </w:tcPr>
          <w:p>
            <w:r>
              <w:rPr>
                <w:rFonts w:ascii="Calibri" w:cs="Calibri" w:eastAsia="Calibri" w:hAnsi="Calibri"/>
                <w:b/>
                <w:bCs/>
                <w:sz w:val="16"/>
                <w:szCs w:val="16"/>
              </w:rPr>
              <w:t xml:space="preserve">Question Asked</w:t>
            </w:r>
          </w:p>
        </w:tc>
        <w:tc>
          <w:tcPr>
            <w:tcW w:type="dxa" w:w="3900"/>
            <w:shd w:fill="D9D9D9" w:color="auto" w:val="clear"/>
            <w:tcMar>
              <w:top w:type="dxa" w:w="80"/>
              <w:left w:type="dxa" w:w="80"/>
              <w:bottom w:type="dxa" w:w="80"/>
              <w:right w:type="dxa" w:w="80"/>
            </w:tcMar>
            <w:vAlign w:val="top"/>
          </w:tcPr>
          <w:p>
            <w:r>
              <w:rPr>
                <w:rFonts w:ascii="Calibri" w:cs="Calibri" w:eastAsia="Calibri" w:hAnsi="Calibri"/>
                <w:b/>
                <w:bCs/>
                <w:sz w:val="16"/>
                <w:szCs w:val="16"/>
              </w:rPr>
              <w:t xml:space="preserve">Q's Answer (summarize)</w:t>
            </w:r>
          </w:p>
        </w:tc>
        <w:tc>
          <w:tcPr>
            <w:tcW w:type="dxa" w:w="1700"/>
            <w:shd w:fill="D9D9D9" w:color="auto" w:val="clear"/>
            <w:tcMar>
              <w:top w:type="dxa" w:w="80"/>
              <w:left w:type="dxa" w:w="80"/>
              <w:bottom w:type="dxa" w:w="80"/>
              <w:right w:type="dxa" w:w="80"/>
            </w:tcMar>
            <w:vAlign w:val="top"/>
          </w:tcPr>
          <w:p>
            <w:r>
              <w:rPr>
                <w:rFonts w:ascii="Calibri" w:cs="Calibri" w:eastAsia="Calibri" w:hAnsi="Calibri"/>
                <w:b/>
                <w:bCs/>
                <w:sz w:val="16"/>
                <w:szCs w:val="16"/>
              </w:rPr>
              <w:t xml:space="preserve">Dashboard Visual Used to Cross-Check</w:t>
            </w:r>
          </w:p>
        </w:tc>
        <w:tc>
          <w:tcPr>
            <w:tcW w:type="dxa" w:w="2300"/>
            <w:shd w:fill="D9D9D9" w:color="auto" w:val="clear"/>
            <w:tcMar>
              <w:top w:type="dxa" w:w="80"/>
              <w:left w:type="dxa" w:w="80"/>
              <w:bottom w:type="dxa" w:w="80"/>
              <w:right w:type="dxa" w:w="80"/>
            </w:tcMar>
            <w:vAlign w:val="top"/>
          </w:tcPr>
          <w:p>
            <w:r>
              <w:rPr>
                <w:rFonts w:ascii="Calibri" w:cs="Calibri" w:eastAsia="Calibri" w:hAnsi="Calibri"/>
                <w:b/>
                <w:bCs/>
                <w:sz w:val="16"/>
                <w:szCs w:val="16"/>
              </w:rPr>
              <w:t xml:space="preserve">Dashboard Shows</w:t>
            </w:r>
          </w:p>
        </w:tc>
        <w:tc>
          <w:tcPr>
            <w:tcW w:type="dxa" w:w="500"/>
            <w:shd w:fill="D9D9D9" w:color="auto" w:val="clear"/>
            <w:tcMar>
              <w:top w:type="dxa" w:w="80"/>
              <w:left w:type="dxa" w:w="80"/>
              <w:bottom w:type="dxa" w:w="80"/>
              <w:right w:type="dxa" w:w="80"/>
            </w:tcMar>
            <w:vAlign w:val="top"/>
          </w:tcPr>
          <w:p>
            <w:r>
              <w:rPr>
                <w:rFonts w:ascii="Calibri" w:cs="Calibri" w:eastAsia="Calibri" w:hAnsi="Calibri"/>
                <w:b/>
                <w:bCs/>
                <w:sz w:val="16"/>
                <w:szCs w:val="16"/>
              </w:rPr>
              <w:t xml:space="preserve">Match?</w:t>
            </w:r>
          </w:p>
        </w:tc>
        <w:tc>
          <w:tcPr>
            <w:tcW w:type="dxa" w:w="3900"/>
            <w:shd w:fill="D9D9D9" w:color="auto" w:val="clear"/>
            <w:tcMar>
              <w:top w:type="dxa" w:w="80"/>
              <w:left w:type="dxa" w:w="80"/>
              <w:bottom w:type="dxa" w:w="80"/>
              <w:right w:type="dxa" w:w="80"/>
            </w:tcMar>
            <w:vAlign w:val="top"/>
          </w:tcPr>
          <w:p>
            <w:r>
              <w:rPr>
                <w:rFonts w:ascii="Calibri" w:cs="Calibri" w:eastAsia="Calibri" w:hAnsi="Calibri"/>
                <w:b/>
                <w:bCs/>
                <w:sz w:val="16"/>
                <w:szCs w:val="16"/>
              </w:rPr>
              <w:t xml:space="preserve">Notes</w:t>
            </w:r>
          </w:p>
        </w:tc>
      </w:tr>
      <w:tr>
        <w:tc>
          <w:tcPr>
            <w:tcW w:type="dxa" w:w="400"/>
            <w:tcMar>
              <w:top w:type="dxa" w:w="80"/>
              <w:left w:type="dxa" w:w="80"/>
              <w:bottom w:type="dxa" w:w="80"/>
              <w:right w:type="dxa" w:w="80"/>
            </w:tcMar>
            <w:vAlign w:val="top"/>
          </w:tcPr>
          <w:p>
            <w:r>
              <w:rPr>
                <w:rFonts w:ascii="Calibri" w:cs="Calibri" w:eastAsia="Calibri" w:hAnsi="Calibri"/>
                <w:b w:val="false"/>
                <w:bCs w:val="false"/>
                <w:sz w:val="16"/>
                <w:szCs w:val="16"/>
              </w:rPr>
              <w:t xml:space="preserve">1</w:t>
            </w:r>
          </w:p>
        </w:tc>
        <w:tc>
          <w:tcPr>
            <w:tcW w:type="dxa" w:w="1700"/>
            <w:tcMar>
              <w:top w:type="dxa" w:w="80"/>
              <w:left w:type="dxa" w:w="80"/>
              <w:bottom w:type="dxa" w:w="80"/>
              <w:right w:type="dxa" w:w="80"/>
            </w:tcMar>
            <w:vAlign w:val="top"/>
          </w:tcPr>
          <w:p>
            <w:r>
              <w:rPr>
                <w:rFonts w:ascii="Calibri" w:cs="Calibri" w:eastAsia="Calibri" w:hAnsi="Calibri"/>
                <w:b w:val="false"/>
                <w:bCs w:val="false"/>
                <w:sz w:val="16"/>
                <w:szCs w:val="16"/>
              </w:rPr>
              <w:t xml:space="preserve">Which campaign channel has the highest conversion rate?</w:t>
            </w:r>
          </w:p>
        </w:tc>
        <w:tc>
          <w:tcPr>
            <w:tcW w:type="dxa" w:w="3900"/>
            <w:tcMar>
              <w:top w:type="dxa" w:w="80"/>
              <w:left w:type="dxa" w:w="80"/>
              <w:bottom w:type="dxa" w:w="80"/>
              <w:right w:type="dxa" w:w="80"/>
            </w:tcMar>
            <w:vAlign w:val="top"/>
          </w:tcPr>
          <w:p>
            <w:r>
              <w:rPr>
                <w:rFonts w:ascii="Calibri" w:cs="Calibri" w:eastAsia="Calibri" w:hAnsi="Calibri"/>
                <w:b w:val="false"/>
                <w:bCs w:val="false"/>
                <w:sz w:val="16"/>
                <w:szCs w:val="16"/>
              </w:rPr>
              <w:t xml:space="preserve">Direct Mail has the highest conversion rate at 48.99% (73 conversions out of 149 leads). Full ranking: Direct Mail 48.99%, Partner Referral 31.10% (251 conversions, highest volume), Paid Social ~22.8%, Email 2.78%, Organic Search 0.89% (lowest, despite second-highest lead volume).</w:t>
            </w:r>
          </w:p>
        </w:tc>
        <w:tc>
          <w:tcPr>
            <w:tcW w:type="dxa" w:w="1700"/>
            <w:tcMar>
              <w:top w:type="dxa" w:w="80"/>
              <w:left w:type="dxa" w:w="80"/>
              <w:bottom w:type="dxa" w:w="80"/>
              <w:right w:type="dxa" w:w="80"/>
            </w:tcMar>
            <w:vAlign w:val="top"/>
          </w:tcPr>
          <w:p>
            <w:r>
              <w:rPr>
                <w:rFonts w:ascii="Calibri" w:cs="Calibri" w:eastAsia="Calibri" w:hAnsi="Calibri"/>
                <w:b w:val="false"/>
                <w:bCs w:val="false"/>
                <w:sz w:val="16"/>
                <w:szCs w:val="16"/>
              </w:rPr>
              <w:t xml:space="preserve">Marketing Funnel — "Average of Campaign_response by Campaign_channel"</w:t>
            </w:r>
          </w:p>
        </w:tc>
        <w:tc>
          <w:tcPr>
            <w:tcW w:type="dxa" w:w="2300"/>
            <w:tcMar>
              <w:top w:type="dxa" w:w="80"/>
              <w:left w:type="dxa" w:w="80"/>
              <w:bottom w:type="dxa" w:w="80"/>
              <w:right w:type="dxa" w:w="80"/>
            </w:tcMar>
            <w:vAlign w:val="top"/>
          </w:tcPr>
          <w:p>
            <w:r>
              <w:rPr>
                <w:rFonts w:ascii="Calibri" w:cs="Calibri" w:eastAsia="Calibri" w:hAnsi="Calibri"/>
                <w:b w:val="false"/>
                <w:bCs w:val="false"/>
                <w:sz w:val="16"/>
                <w:szCs w:val="16"/>
              </w:rPr>
              <w:t xml:space="preserve">Direct Mail has the tallest bar (~0.49 average response), followed by Paid Social, Partner Referral, Organic Search, then Email lowest.</w:t>
            </w:r>
          </w:p>
        </w:tc>
        <w:tc>
          <w:tcPr>
            <w:tcW w:type="dxa" w:w="500"/>
            <w:tcMar>
              <w:top w:type="dxa" w:w="80"/>
              <w:left w:type="dxa" w:w="80"/>
              <w:bottom w:type="dxa" w:w="80"/>
              <w:right w:type="dxa" w:w="80"/>
            </w:tcMar>
            <w:vAlign w:val="top"/>
          </w:tcPr>
          <w:p>
            <w:r>
              <w:rPr>
                <w:rFonts w:ascii="Calibri" w:cs="Calibri" w:eastAsia="Calibri" w:hAnsi="Calibri"/>
                <w:b/>
                <w:bCs/>
                <w:sz w:val="16"/>
                <w:szCs w:val="16"/>
              </w:rPr>
              <w:t xml:space="preserve">✔ Yes</w:t>
            </w:r>
          </w:p>
        </w:tc>
        <w:tc>
          <w:tcPr>
            <w:tcW w:type="dxa" w:w="3900"/>
            <w:tcMar>
              <w:top w:type="dxa" w:w="80"/>
              <w:left w:type="dxa" w:w="80"/>
              <w:bottom w:type="dxa" w:w="80"/>
              <w:right w:type="dxa" w:w="80"/>
            </w:tcMar>
            <w:vAlign w:val="top"/>
          </w:tcPr>
          <w:p>
            <w:r>
              <w:rPr>
                <w:rFonts w:ascii="Calibri" w:cs="Calibri" w:eastAsia="Calibri" w:hAnsi="Calibri"/>
                <w:b w:val="false"/>
                <w:bCs w:val="false"/>
                <w:sz w:val="16"/>
                <w:szCs w:val="16"/>
              </w:rPr>
              <w:t xml:space="preserve">Dashboard's "campaign_response" metric and Q's "conversion rate" (lead reaching Closed Won) are defined slightly differently, but both independently rank Direct Mail #1 — strong agreement.</w:t>
            </w:r>
          </w:p>
        </w:tc>
      </w:tr>
      <w:tr>
        <w:tc>
          <w:tcPr>
            <w:tcW w:type="dxa" w:w="400"/>
            <w:tcMar>
              <w:top w:type="dxa" w:w="80"/>
              <w:left w:type="dxa" w:w="80"/>
              <w:bottom w:type="dxa" w:w="80"/>
              <w:right w:type="dxa" w:w="80"/>
            </w:tcMar>
            <w:vAlign w:val="top"/>
          </w:tcPr>
          <w:p>
            <w:r>
              <w:rPr>
                <w:rFonts w:ascii="Calibri" w:cs="Calibri" w:eastAsia="Calibri" w:hAnsi="Calibri"/>
                <w:b w:val="false"/>
                <w:bCs w:val="false"/>
                <w:sz w:val="16"/>
                <w:szCs w:val="16"/>
              </w:rPr>
              <w:t xml:space="preserve">2</w:t>
            </w:r>
          </w:p>
        </w:tc>
        <w:tc>
          <w:tcPr>
            <w:tcW w:type="dxa" w:w="1700"/>
            <w:tcMar>
              <w:top w:type="dxa" w:w="80"/>
              <w:left w:type="dxa" w:w="80"/>
              <w:bottom w:type="dxa" w:w="80"/>
              <w:right w:type="dxa" w:w="80"/>
            </w:tcMar>
            <w:vAlign w:val="top"/>
          </w:tcPr>
          <w:p>
            <w:r>
              <w:rPr>
                <w:rFonts w:ascii="Calibri" w:cs="Calibri" w:eastAsia="Calibri" w:hAnsi="Calibri"/>
                <w:b w:val="false"/>
                <w:bCs w:val="false"/>
                <w:sz w:val="16"/>
                <w:szCs w:val="16"/>
              </w:rPr>
              <w:t xml:space="preserve">What is the average deal size by company size?</w:t>
            </w:r>
          </w:p>
        </w:tc>
        <w:tc>
          <w:tcPr>
            <w:tcW w:type="dxa" w:w="3900"/>
            <w:tcMar>
              <w:top w:type="dxa" w:w="80"/>
              <w:left w:type="dxa" w:w="80"/>
              <w:bottom w:type="dxa" w:w="80"/>
              <w:right w:type="dxa" w:w="80"/>
            </w:tcMar>
            <w:vAlign w:val="top"/>
          </w:tcPr>
          <w:p>
            <w:r>
              <w:rPr>
                <w:rFonts w:ascii="Calibri" w:cs="Calibri" w:eastAsia="Calibri" w:hAnsi="Calibri"/>
                <w:b w:val="false"/>
                <w:bCs w:val="false"/>
                <w:sz w:val="16"/>
                <w:szCs w:val="16"/>
              </w:rPr>
              <w:t xml:space="preserve">Enterprise has the highest average deal value at $1,589.17 across 201 deals. Large accounts, despite having the most deals (216), have the lowest average deal size at $1,257.47. Small and Medium tiers have far fewer deals (39 and 43) so their averages are less statistically robust. Deal size does not scale linearly with company size — Small actually beats both Medium and Large.</w:t>
            </w:r>
          </w:p>
        </w:tc>
        <w:tc>
          <w:tcPr>
            <w:tcW w:type="dxa" w:w="1700"/>
            <w:tcMar>
              <w:top w:type="dxa" w:w="80"/>
              <w:left w:type="dxa" w:w="80"/>
              <w:bottom w:type="dxa" w:w="80"/>
              <w:right w:type="dxa" w:w="80"/>
            </w:tcMar>
            <w:vAlign w:val="top"/>
          </w:tcPr>
          <w:p>
            <w:r>
              <w:rPr>
                <w:rFonts w:ascii="Calibri" w:cs="Calibri" w:eastAsia="Calibri" w:hAnsi="Calibri"/>
                <w:b w:val="false"/>
                <w:bCs w:val="false"/>
                <w:sz w:val="16"/>
                <w:szCs w:val="16"/>
              </w:rPr>
              <w:t xml:space="preserve">Sales Pipeline — "Average of Deal_value by Company_size_tier"</w:t>
            </w:r>
          </w:p>
        </w:tc>
        <w:tc>
          <w:tcPr>
            <w:tcW w:type="dxa" w:w="2300"/>
            <w:tcMar>
              <w:top w:type="dxa" w:w="80"/>
              <w:left w:type="dxa" w:w="80"/>
              <w:bottom w:type="dxa" w:w="80"/>
              <w:right w:type="dxa" w:w="80"/>
            </w:tcMar>
            <w:vAlign w:val="top"/>
          </w:tcPr>
          <w:p>
            <w:r>
              <w:rPr>
                <w:rFonts w:ascii="Calibri" w:cs="Calibri" w:eastAsia="Calibri" w:hAnsi="Calibri"/>
                <w:b w:val="false"/>
                <w:bCs w:val="false"/>
                <w:sz w:val="16"/>
                <w:szCs w:val="16"/>
              </w:rPr>
              <w:t xml:space="preserve">Bars in descending order: Enterprise (~$1.59K, highest), Small (~$1.5K), Medium (~$1.35K), Large (~$1.26K, lowest).</w:t>
            </w:r>
          </w:p>
        </w:tc>
        <w:tc>
          <w:tcPr>
            <w:tcW w:type="dxa" w:w="500"/>
            <w:tcMar>
              <w:top w:type="dxa" w:w="80"/>
              <w:left w:type="dxa" w:w="80"/>
              <w:bottom w:type="dxa" w:w="80"/>
              <w:right w:type="dxa" w:w="80"/>
            </w:tcMar>
            <w:vAlign w:val="top"/>
          </w:tcPr>
          <w:p>
            <w:r>
              <w:rPr>
                <w:rFonts w:ascii="Calibri" w:cs="Calibri" w:eastAsia="Calibri" w:hAnsi="Calibri"/>
                <w:b/>
                <w:bCs/>
                <w:sz w:val="16"/>
                <w:szCs w:val="16"/>
              </w:rPr>
              <w:t xml:space="preserve">✔ Yes</w:t>
            </w:r>
          </w:p>
        </w:tc>
        <w:tc>
          <w:tcPr>
            <w:tcW w:type="dxa" w:w="3900"/>
            <w:tcMar>
              <w:top w:type="dxa" w:w="80"/>
              <w:left w:type="dxa" w:w="80"/>
              <w:bottom w:type="dxa" w:w="80"/>
              <w:right w:type="dxa" w:w="80"/>
            </w:tcMar>
            <w:vAlign w:val="top"/>
          </w:tcPr>
          <w:p>
            <w:r>
              <w:rPr>
                <w:rFonts w:ascii="Calibri" w:cs="Calibri" w:eastAsia="Calibri" w:hAnsi="Calibri"/>
                <w:b w:val="false"/>
                <w:bCs w:val="false"/>
                <w:sz w:val="16"/>
                <w:szCs w:val="16"/>
              </w:rPr>
              <w:t xml:space="preserve">Exact ranking match, including the non-intuitive result that Large has the lowest average despite the highest deal count.</w:t>
            </w:r>
          </w:p>
        </w:tc>
      </w:tr>
      <w:tr>
        <w:tc>
          <w:tcPr>
            <w:tcW w:type="dxa" w:w="400"/>
            <w:shd w:fill="FFF2CC" w:color="auto" w:val="clear"/>
            <w:tcMar>
              <w:top w:type="dxa" w:w="80"/>
              <w:left w:type="dxa" w:w="80"/>
              <w:bottom w:type="dxa" w:w="80"/>
              <w:right w:type="dxa" w:w="80"/>
            </w:tcMar>
            <w:vAlign w:val="top"/>
          </w:tcPr>
          <w:p>
            <w:r>
              <w:rPr>
                <w:rFonts w:ascii="Calibri" w:cs="Calibri" w:eastAsia="Calibri" w:hAnsi="Calibri"/>
                <w:b w:val="false"/>
                <w:bCs w:val="false"/>
                <w:sz w:val="16"/>
                <w:szCs w:val="16"/>
              </w:rPr>
              <w:t xml:space="preserve">3</w:t>
            </w:r>
          </w:p>
        </w:tc>
        <w:tc>
          <w:tcPr>
            <w:tcW w:type="dxa" w:w="1700"/>
            <w:shd w:fill="FFF2CC" w:color="auto" w:val="clear"/>
            <w:tcMar>
              <w:top w:type="dxa" w:w="80"/>
              <w:left w:type="dxa" w:w="80"/>
              <w:bottom w:type="dxa" w:w="80"/>
              <w:right w:type="dxa" w:w="80"/>
            </w:tcMar>
            <w:vAlign w:val="top"/>
          </w:tcPr>
          <w:p>
            <w:r>
              <w:rPr>
                <w:rFonts w:ascii="Calibri" w:cs="Calibri" w:eastAsia="Calibri" w:hAnsi="Calibri"/>
                <w:b w:val="false"/>
                <w:bCs w:val="false"/>
                <w:sz w:val="16"/>
                <w:szCs w:val="16"/>
              </w:rPr>
              <w:t xml:space="preserve">What is the average resolution time for critical vs. low-priority tickets?</w:t>
            </w:r>
          </w:p>
        </w:tc>
        <w:tc>
          <w:tcPr>
            <w:tcW w:type="dxa" w:w="3900"/>
            <w:shd w:fill="FFF2CC" w:color="auto" w:val="clear"/>
            <w:tcMar>
              <w:top w:type="dxa" w:w="80"/>
              <w:left w:type="dxa" w:w="80"/>
              <w:bottom w:type="dxa" w:w="80"/>
              <w:right w:type="dxa" w:w="80"/>
            </w:tcMar>
            <w:vAlign w:val="top"/>
          </w:tcPr>
          <w:p>
            <w:r>
              <w:rPr>
                <w:rFonts w:ascii="Calibri" w:cs="Calibri" w:eastAsia="Calibri" w:hAnsi="Calibri"/>
                <w:b w:val="false"/>
                <w:bCs w:val="false"/>
                <w:sz w:val="16"/>
                <w:szCs w:val="16"/>
              </w:rPr>
              <w:t xml:space="preserve">Critical tickets resolve about 5 hours faster on average (~56 hours) than Low-priority tickets (~61.02 hours) — consistent with critical issues being escalated for quicker turnaround, though the gap is a modest ~8%. Low-priority tickets make up by far the largest ticket volume.</w:t>
            </w:r>
          </w:p>
        </w:tc>
        <w:tc>
          <w:tcPr>
            <w:tcW w:type="dxa" w:w="1700"/>
            <w:shd w:fill="FFF2CC" w:color="auto" w:val="clear"/>
            <w:tcMar>
              <w:top w:type="dxa" w:w="80"/>
              <w:left w:type="dxa" w:w="80"/>
              <w:bottom w:type="dxa" w:w="80"/>
              <w:right w:type="dxa" w:w="80"/>
            </w:tcMar>
            <w:vAlign w:val="top"/>
          </w:tcPr>
          <w:p>
            <w:r>
              <w:rPr>
                <w:rFonts w:ascii="Calibri" w:cs="Calibri" w:eastAsia="Calibri" w:hAnsi="Calibri"/>
                <w:b w:val="false"/>
                <w:bCs w:val="false"/>
                <w:sz w:val="16"/>
                <w:szCs w:val="16"/>
              </w:rPr>
              <w:t xml:space="preserve">Customer Health — "Average of Resolution_time_hours by Priority"</w:t>
            </w:r>
          </w:p>
        </w:tc>
        <w:tc>
          <w:tcPr>
            <w:tcW w:type="dxa" w:w="2300"/>
            <w:shd w:fill="FFF2CC" w:color="auto" w:val="clear"/>
            <w:tcMar>
              <w:top w:type="dxa" w:w="80"/>
              <w:left w:type="dxa" w:w="80"/>
              <w:bottom w:type="dxa" w:w="80"/>
              <w:right w:type="dxa" w:w="80"/>
            </w:tcMar>
            <w:vAlign w:val="top"/>
          </w:tcPr>
          <w:p>
            <w:r>
              <w:rPr>
                <w:rFonts w:ascii="Calibri" w:cs="Calibri" w:eastAsia="Calibri" w:hAnsi="Calibri"/>
                <w:b w:val="false"/>
                <w:bCs w:val="false"/>
                <w:sz w:val="16"/>
                <w:szCs w:val="16"/>
              </w:rPr>
              <w:t xml:space="preserve">All four priority bars (critical, high, medium, low) cluster closely in the ~50-60 hour range, with critical visually the shortest and low/medium/high close together.</w:t>
            </w:r>
          </w:p>
        </w:tc>
        <w:tc>
          <w:tcPr>
            <w:tcW w:type="dxa" w:w="500"/>
            <w:shd w:fill="FFF2CC" w:color="auto" w:val="clear"/>
            <w:tcMar>
              <w:top w:type="dxa" w:w="80"/>
              <w:left w:type="dxa" w:w="80"/>
              <w:bottom w:type="dxa" w:w="80"/>
              <w:right w:type="dxa" w:w="80"/>
            </w:tcMar>
            <w:vAlign w:val="top"/>
          </w:tcPr>
          <w:p>
            <w:r>
              <w:rPr>
                <w:rFonts w:ascii="Calibri" w:cs="Calibri" w:eastAsia="Calibri" w:hAnsi="Calibri"/>
                <w:b/>
                <w:bCs/>
                <w:sz w:val="16"/>
                <w:szCs w:val="16"/>
              </w:rPr>
              <w:t xml:space="preserve">~ Partial</w:t>
            </w:r>
          </w:p>
        </w:tc>
        <w:tc>
          <w:tcPr>
            <w:tcW w:type="dxa" w:w="3900"/>
            <w:shd w:fill="FFF2CC" w:color="auto" w:val="clear"/>
            <w:tcMar>
              <w:top w:type="dxa" w:w="80"/>
              <w:left w:type="dxa" w:w="80"/>
              <w:bottom w:type="dxa" w:w="80"/>
              <w:right w:type="dxa" w:w="80"/>
            </w:tcMar>
            <w:vAlign w:val="top"/>
          </w:tcPr>
          <w:p>
            <w:r>
              <w:rPr>
                <w:rFonts w:ascii="Calibri" w:cs="Calibri" w:eastAsia="Calibri" w:hAnsi="Calibri"/>
                <w:b w:val="false"/>
                <w:bCs w:val="false"/>
                <w:sz w:val="16"/>
                <w:szCs w:val="16"/>
              </w:rPr>
              <w:t xml:space="preserve">The direction is correct (critical resolves fastest, low-priority slowest), but two things are worth noting. First, the size of the gap is a bit bigger than what the real data shows: Q said about a 5-hour gap (61.02 vs. 56 hours), but recalculating directly from the raw ticket data gives a smaller gap of about 3 hours (59.4 vs. 56.6 hours). Second, the ticket-count figures Q cited (819 critical / 26,706 low) don't match the data dictionary's true per-ticket counts (50 critical / 1,500 low) — likely because Q's cross-dataset joins (Support Tickets joined to CRM/Marketing via account_id) duplicate some ticket rows. Good example for the Reflection section.</w:t>
            </w:r>
          </w:p>
        </w:tc>
      </w:tr>
      <w:tr>
        <w:tc>
          <w:tcPr>
            <w:tcW w:type="dxa" w:w="400"/>
            <w:shd w:fill="FFF2CC" w:color="auto" w:val="clear"/>
            <w:tcMar>
              <w:top w:type="dxa" w:w="80"/>
              <w:left w:type="dxa" w:w="80"/>
              <w:bottom w:type="dxa" w:w="80"/>
              <w:right w:type="dxa" w:w="80"/>
            </w:tcMar>
            <w:vAlign w:val="top"/>
          </w:tcPr>
          <w:p>
            <w:r>
              <w:rPr>
                <w:rFonts w:ascii="Calibri" w:cs="Calibri" w:eastAsia="Calibri" w:hAnsi="Calibri"/>
                <w:b w:val="false"/>
                <w:bCs w:val="false"/>
                <w:sz w:val="16"/>
                <w:szCs w:val="16"/>
              </w:rPr>
              <w:t xml:space="preserve">4</w:t>
            </w:r>
          </w:p>
        </w:tc>
        <w:tc>
          <w:tcPr>
            <w:tcW w:type="dxa" w:w="1700"/>
            <w:shd w:fill="FFF2CC" w:color="auto" w:val="clear"/>
            <w:tcMar>
              <w:top w:type="dxa" w:w="80"/>
              <w:left w:type="dxa" w:w="80"/>
              <w:bottom w:type="dxa" w:w="80"/>
              <w:right w:type="dxa" w:w="80"/>
            </w:tcMar>
            <w:vAlign w:val="top"/>
          </w:tcPr>
          <w:p>
            <w:r>
              <w:rPr>
                <w:rFonts w:ascii="Calibri" w:cs="Calibri" w:eastAsia="Calibri" w:hAnsi="Calibri"/>
                <w:b w:val="false"/>
                <w:bCs w:val="false"/>
                <w:sz w:val="16"/>
                <w:szCs w:val="16"/>
              </w:rPr>
              <w:t xml:space="preserve">What are the top 10 accounts by support ticket volume, and what is their total deal revenue?</w:t>
            </w:r>
          </w:p>
        </w:tc>
        <w:tc>
          <w:tcPr>
            <w:tcW w:type="dxa" w:w="3900"/>
            <w:shd w:fill="FFF2CC" w:color="auto" w:val="clear"/>
            <w:tcMar>
              <w:top w:type="dxa" w:w="80"/>
              <w:left w:type="dxa" w:w="80"/>
              <w:bottom w:type="dxa" w:w="80"/>
              <w:right w:type="dxa" w:w="80"/>
            </w:tcMar>
            <w:vAlign w:val="top"/>
          </w:tcPr>
          <w:p>
            <w:r>
              <w:rPr>
                <w:rFonts w:ascii="Calibri" w:cs="Calibri" w:eastAsia="Calibri" w:hAnsi="Calibri"/>
                <w:b w:val="false"/>
                <w:bCs w:val="false"/>
                <w:sz w:val="16"/>
                <w:szCs w:val="16"/>
              </w:rPr>
              <w:t xml:space="preserve">Ranked list led by YieldMax Software (ACCT-041) with 334 tickets and $40,722 in deal revenue — nearly double the next account. Followed by TrueNorth Electronics, LionGate Holdings, AlphaCore Technologies, RedCedar Software, UltraLink Communications, MapleCrest Retail, HavenCrest Communications, PineRidge Global, and LakeView Software. UltraLink and MapleCrest show the weakest revenue-to-ticket ratio (higher support burden relative to revenue).</w:t>
            </w:r>
          </w:p>
        </w:tc>
        <w:tc>
          <w:tcPr>
            <w:tcW w:type="dxa" w:w="1700"/>
            <w:shd w:fill="FFF2CC" w:color="auto" w:val="clear"/>
            <w:tcMar>
              <w:top w:type="dxa" w:w="80"/>
              <w:left w:type="dxa" w:w="80"/>
              <w:bottom w:type="dxa" w:w="80"/>
              <w:right w:type="dxa" w:w="80"/>
            </w:tcMar>
            <w:vAlign w:val="top"/>
          </w:tcPr>
          <w:p>
            <w:r>
              <w:rPr>
                <w:rFonts w:ascii="Calibri" w:cs="Calibri" w:eastAsia="Calibri" w:hAnsi="Calibri"/>
                <w:b w:val="false"/>
                <w:bCs w:val="false"/>
                <w:sz w:val="16"/>
                <w:szCs w:val="16"/>
              </w:rPr>
              <w:t xml:space="preserve">Customer Health — "Risk Indicators – At-Risk Accounts (High Tickets, Negative Sentiment, High Deal Value)" table</w:t>
            </w:r>
          </w:p>
        </w:tc>
        <w:tc>
          <w:tcPr>
            <w:tcW w:type="dxa" w:w="2300"/>
            <w:shd w:fill="FFF2CC" w:color="auto" w:val="clear"/>
            <w:tcMar>
              <w:top w:type="dxa" w:w="80"/>
              <w:left w:type="dxa" w:w="80"/>
              <w:bottom w:type="dxa" w:w="80"/>
              <w:right w:type="dxa" w:w="80"/>
            </w:tcMar>
            <w:vAlign w:val="top"/>
          </w:tcPr>
          <w:p>
            <w:r>
              <w:rPr>
                <w:rFonts w:ascii="Calibri" w:cs="Calibri" w:eastAsia="Calibri" w:hAnsi="Calibri"/>
                <w:b w:val="false"/>
                <w:bCs w:val="false"/>
                <w:sz w:val="16"/>
                <w:szCs w:val="16"/>
              </w:rPr>
              <w:t xml:space="preserve">Table's top row is exactly YieldMax Software / ACCT-041 / 334 tickets / 63 negative / $40,722 total deal value — an exact match. The same nine other accounts (TrueNorth, LionGate, AlphaCore, RedCedar, UltraLink, etc.) all appear in the table.</w:t>
            </w:r>
          </w:p>
        </w:tc>
        <w:tc>
          <w:tcPr>
            <w:tcW w:type="dxa" w:w="500"/>
            <w:shd w:fill="FFF2CC" w:color="auto" w:val="clear"/>
            <w:tcMar>
              <w:top w:type="dxa" w:w="80"/>
              <w:left w:type="dxa" w:w="80"/>
              <w:bottom w:type="dxa" w:w="80"/>
              <w:right w:type="dxa" w:w="80"/>
            </w:tcMar>
            <w:vAlign w:val="top"/>
          </w:tcPr>
          <w:p>
            <w:r>
              <w:rPr>
                <w:rFonts w:ascii="Calibri" w:cs="Calibri" w:eastAsia="Calibri" w:hAnsi="Calibri"/>
                <w:b/>
                <w:bCs/>
                <w:sz w:val="16"/>
                <w:szCs w:val="16"/>
              </w:rPr>
              <w:t xml:space="preserve">✔ Yes</w:t>
            </w:r>
          </w:p>
        </w:tc>
        <w:tc>
          <w:tcPr>
            <w:tcW w:type="dxa" w:w="3900"/>
            <w:shd w:fill="FFF2CC" w:color="auto" w:val="clear"/>
            <w:tcMar>
              <w:top w:type="dxa" w:w="80"/>
              <w:left w:type="dxa" w:w="80"/>
              <w:bottom w:type="dxa" w:w="80"/>
              <w:right w:type="dxa" w:w="80"/>
            </w:tcMar>
            <w:vAlign w:val="top"/>
          </w:tcPr>
          <w:p>
            <w:r>
              <w:rPr>
                <w:rFonts w:ascii="Calibri" w:cs="Calibri" w:eastAsia="Calibri" w:hAnsi="Calibri"/>
                <w:b w:val="false"/>
                <w:bCs w:val="false"/>
                <w:sz w:val="16"/>
                <w:szCs w:val="16"/>
              </w:rPr>
              <w:t xml:space="preserve">The top account and its numbers match exactly (334 tickets, $40,722). The order after #1 is a bit different because the dashboard table is sorted by negative ticket count, not total ticket count. Also, the two lists aren't fully identical: LakeView Software (which appears in Q's top 10) is not in the dashboard table's top 10 — instead, the table includes SapphireCode Software (80 tickets, 25 negative). Both rankings are valid, they just measure slightly different things (overall support load vs. negative-sentiment concentration).</w:t>
            </w:r>
          </w:p>
        </w:tc>
      </w:tr>
      <w:tr>
        <w:tc>
          <w:tcPr>
            <w:tcW w:type="dxa" w:w="400"/>
            <w:tcMar>
              <w:top w:type="dxa" w:w="80"/>
              <w:left w:type="dxa" w:w="80"/>
              <w:bottom w:type="dxa" w:w="80"/>
              <w:right w:type="dxa" w:w="80"/>
            </w:tcMar>
            <w:vAlign w:val="top"/>
          </w:tcPr>
          <w:p>
            <w:r>
              <w:rPr>
                <w:rFonts w:ascii="Calibri" w:cs="Calibri" w:eastAsia="Calibri" w:hAnsi="Calibri"/>
                <w:b w:val="false"/>
                <w:bCs w:val="false"/>
                <w:sz w:val="16"/>
                <w:szCs w:val="16"/>
              </w:rPr>
              <w:t xml:space="preserve">5</w:t>
            </w:r>
          </w:p>
        </w:tc>
        <w:tc>
          <w:tcPr>
            <w:tcW w:type="dxa" w:w="1700"/>
            <w:tcMar>
              <w:top w:type="dxa" w:w="80"/>
              <w:left w:type="dxa" w:w="80"/>
              <w:bottom w:type="dxa" w:w="80"/>
              <w:right w:type="dxa" w:w="80"/>
            </w:tcMar>
            <w:vAlign w:val="top"/>
          </w:tcPr>
          <w:p>
            <w:r>
              <w:rPr>
                <w:rFonts w:ascii="Calibri" w:cs="Calibri" w:eastAsia="Calibri" w:hAnsi="Calibri"/>
                <w:b w:val="false"/>
                <w:bCs w:val="false"/>
                <w:sz w:val="16"/>
                <w:szCs w:val="16"/>
              </w:rPr>
              <w:t xml:space="preserve">Are there any campaigns where we spent more than we earned back?</w:t>
            </w:r>
          </w:p>
        </w:tc>
        <w:tc>
          <w:tcPr>
            <w:tcW w:type="dxa" w:w="3900"/>
            <w:tcMar>
              <w:top w:type="dxa" w:w="80"/>
              <w:left w:type="dxa" w:w="80"/>
              <w:bottom w:type="dxa" w:w="80"/>
              <w:right w:type="dxa" w:w="80"/>
            </w:tcMar>
            <w:vAlign w:val="top"/>
          </w:tcPr>
          <w:p>
            <w:r>
              <w:rPr>
                <w:rFonts w:ascii="Calibri" w:cs="Calibri" w:eastAsia="Calibri" w:hAnsi="Calibri"/>
                <w:b w:val="false"/>
                <w:bCs w:val="false"/>
                <w:sz w:val="16"/>
                <w:szCs w:val="16"/>
              </w:rPr>
              <w:t xml:space="preserve">Yes — every one of the 6 campaigns has spend exceeding attributed revenue, for a combined unrecovered spend of approximately $11.2M. Digital Retarget has the largest deficit (~$2.2M) despite being a retargeting campaign meant for high conversion efficiency. NovaPulse Launch generated the most revenue ($394K) but still fell short by over $2M. NovaEdge Awareness has the smallest deficit but also the lowest revenue attribution ($34K).</w:t>
            </w:r>
          </w:p>
        </w:tc>
        <w:tc>
          <w:tcPr>
            <w:tcW w:type="dxa" w:w="1700"/>
            <w:tcMar>
              <w:top w:type="dxa" w:w="80"/>
              <w:left w:type="dxa" w:w="80"/>
              <w:bottom w:type="dxa" w:w="80"/>
              <w:right w:type="dxa" w:w="80"/>
            </w:tcMar>
            <w:vAlign w:val="top"/>
          </w:tcPr>
          <w:p>
            <w:r>
              <w:rPr>
                <w:rFonts w:ascii="Calibri" w:cs="Calibri" w:eastAsia="Calibri" w:hAnsi="Calibri"/>
                <w:b w:val="false"/>
                <w:bCs w:val="false"/>
                <w:sz w:val="16"/>
                <w:szCs w:val="16"/>
              </w:rPr>
              <w:t xml:space="preserve">Marketing Funnel — "Sum of Campaign_spend and Sum of Revenue_attributed by Campaign_name" (combo chart)</w:t>
            </w:r>
          </w:p>
        </w:tc>
        <w:tc>
          <w:tcPr>
            <w:tcW w:type="dxa" w:w="2300"/>
            <w:tcMar>
              <w:top w:type="dxa" w:w="80"/>
              <w:left w:type="dxa" w:w="80"/>
              <w:bottom w:type="dxa" w:w="80"/>
              <w:right w:type="dxa" w:w="80"/>
            </w:tcMar>
            <w:vAlign w:val="top"/>
          </w:tcPr>
          <w:p>
            <w:r>
              <w:rPr>
                <w:rFonts w:ascii="Calibri" w:cs="Calibri" w:eastAsia="Calibri" w:hAnsi="Calibri"/>
                <w:b w:val="false"/>
                <w:bCs w:val="false"/>
                <w:sz w:val="16"/>
                <w:szCs w:val="16"/>
              </w:rPr>
              <w:t xml:space="preserve">Every campaign's spend bar is visibly much longer than its paired revenue bar, with Digital Retarget and NovaPulse Launch showing the largest absolute gaps and NovaEdge Awareness the smallest.</w:t>
            </w:r>
          </w:p>
        </w:tc>
        <w:tc>
          <w:tcPr>
            <w:tcW w:type="dxa" w:w="500"/>
            <w:tcMar>
              <w:top w:type="dxa" w:w="80"/>
              <w:left w:type="dxa" w:w="80"/>
              <w:bottom w:type="dxa" w:w="80"/>
              <w:right w:type="dxa" w:w="80"/>
            </w:tcMar>
            <w:vAlign w:val="top"/>
          </w:tcPr>
          <w:p>
            <w:r>
              <w:rPr>
                <w:rFonts w:ascii="Calibri" w:cs="Calibri" w:eastAsia="Calibri" w:hAnsi="Calibri"/>
                <w:b/>
                <w:bCs/>
                <w:sz w:val="16"/>
                <w:szCs w:val="16"/>
              </w:rPr>
              <w:t xml:space="preserve">✔ Yes</w:t>
            </w:r>
          </w:p>
        </w:tc>
        <w:tc>
          <w:tcPr>
            <w:tcW w:type="dxa" w:w="3900"/>
            <w:tcMar>
              <w:top w:type="dxa" w:w="80"/>
              <w:left w:type="dxa" w:w="80"/>
              <w:bottom w:type="dxa" w:w="80"/>
              <w:right w:type="dxa" w:w="80"/>
            </w:tcMar>
            <w:vAlign w:val="top"/>
          </w:tcPr>
          <w:p>
            <w:r>
              <w:rPr>
                <w:rFonts w:ascii="Calibri" w:cs="Calibri" w:eastAsia="Calibri" w:hAnsi="Calibri"/>
                <w:b w:val="false"/>
                <w:bCs w:val="false"/>
                <w:sz w:val="16"/>
                <w:szCs w:val="16"/>
              </w:rPr>
              <w:t xml:space="preserve">Visual pattern matches Q's answer exactly across all 6 campaigns.</w:t>
            </w:r>
          </w:p>
        </w:tc>
      </w:tr>
    </w:tbl>
    <w:p>
      <w:pPr>
        <w:pStyle w:val="Heading1"/>
        <w:spacing w:after="120" w:before="320"/>
      </w:pPr>
      <w:r>
        <w:rPr>
          <w:rFonts w:ascii="Calibri" w:cs="Calibri" w:eastAsia="Calibri" w:hAnsi="Calibri"/>
        </w:rPr>
        <w:t xml:space="preserve">Reflection (include in written summary)</w:t>
      </w:r>
    </w:p>
    <w:p>
      <w:pPr>
        <w:spacing w:after="160"/>
      </w:pPr>
      <w:r>
        <w:rPr>
          <w:rFonts w:ascii="Calibri" w:cs="Calibri" w:eastAsia="Calibri" w:hAnsi="Calibri"/>
          <w:sz w:val="22"/>
          <w:szCs w:val="22"/>
        </w:rPr>
        <w:t xml:space="preserve">•  </w:t>
      </w:r>
      <w:r>
        <w:rPr>
          <w:rFonts w:ascii="Calibri" w:cs="Calibri" w:eastAsia="Calibri" w:hAnsi="Calibri"/>
          <w:b/>
          <w:bCs/>
          <w:sz w:val="22"/>
          <w:szCs w:val="22"/>
        </w:rPr>
        <w:t xml:space="preserve">Where did Q agree with the dashboard? </w:t>
      </w:r>
      <w:r>
        <w:rPr>
          <w:rFonts w:ascii="Calibri" w:cs="Calibri" w:eastAsia="Calibri" w:hAnsi="Calibri"/>
          <w:sz w:val="22"/>
          <w:szCs w:val="22"/>
        </w:rPr>
        <w:t xml:space="preserve">On 4 of 5 questions, Q's natural-language answers matched the corresponding dashboard visuals exactly or near-exactly — including specific figures like YieldMax Software's 334 tickets/$40,722 (Q4), the full campaign spend-vs-revenue ranking (Q5), the Enterprise/Small/Medium/Large deal-size ordering (Q2), and the Direct Mail conversion/response-rate leadership (Q1). This is strong evidence that the Topic's relationships (account_id joins across CRM, Marketing, and Support datasets) were configured correctly.</w:t>
      </w:r>
    </w:p>
    <w:p>
      <w:pPr>
        <w:spacing w:after="160"/>
      </w:pPr>
      <w:r>
        <w:rPr>
          <w:rFonts w:ascii="Calibri" w:cs="Calibri" w:eastAsia="Calibri" w:hAnsi="Calibri"/>
          <w:sz w:val="22"/>
          <w:szCs w:val="22"/>
        </w:rPr>
        <w:t xml:space="preserve">•  </w:t>
      </w:r>
      <w:r>
        <w:rPr>
          <w:rFonts w:ascii="Calibri" w:cs="Calibri" w:eastAsia="Calibri" w:hAnsi="Calibri"/>
          <w:b/>
          <w:bCs/>
          <w:sz w:val="22"/>
          <w:szCs w:val="22"/>
        </w:rPr>
        <w:t xml:space="preserve">Where did Q disagree or struggle? Why? </w:t>
      </w:r>
      <w:r>
        <w:rPr>
          <w:rFonts w:ascii="Calibri" w:cs="Calibri" w:eastAsia="Calibri" w:hAnsi="Calibri"/>
          <w:sz w:val="22"/>
          <w:szCs w:val="22"/>
        </w:rPr>
        <w:t xml:space="preserve">On Q3 (resolution time by priority), Q's directional finding was correct (critical resolves faster than low) but both the ticket-count figures (819 critical / 26,706 low vs. the data dictionary's true 50 critical / 1,500 low) and the size of the time gap it cited were noticeably off from the raw data. This is most likely a fan-out effect: because the Topic joins Support Tickets to CRM Deals on account_id, and several accounts have many deals, ticket rows can be multiplied when Q aggregates across the joined model. It's a useful caution that natural-language answers involving counts — and even averaged values, if the duplication isn't spread evenly across tickets — should always be spot-checked against the underlying dataset when cross-dataset relationships are involved.</w:t>
      </w:r>
    </w:p>
    <w:p>
      <w:pPr>
        <w:spacing w:after="160"/>
      </w:pPr>
      <w:r>
        <w:rPr>
          <w:rFonts w:ascii="Calibri" w:cs="Calibri" w:eastAsia="Calibri" w:hAnsi="Calibri"/>
          <w:sz w:val="22"/>
          <w:szCs w:val="22"/>
        </w:rPr>
        <w:t xml:space="preserve">•  </w:t>
      </w:r>
      <w:r>
        <w:rPr>
          <w:rFonts w:ascii="Calibri" w:cs="Calibri" w:eastAsia="Calibri" w:hAnsi="Calibri"/>
          <w:b/>
          <w:bCs/>
          <w:sz w:val="22"/>
          <w:szCs w:val="22"/>
        </w:rPr>
        <w:t xml:space="preserve">When would you use Q vs. the dashboard to answer a business question? </w:t>
      </w:r>
      <w:r>
        <w:rPr>
          <w:rFonts w:ascii="Calibri" w:cs="Calibri" w:eastAsia="Calibri" w:hAnsi="Calibri"/>
          <w:sz w:val="22"/>
          <w:szCs w:val="22"/>
        </w:rPr>
        <w:t xml:space="preserve">Q is fastest for one-off, natural-language questions, especially ranking/comparison questions ("which channel is best?", "who are our top at-risk accounts?") where the underlying visual would otherwise need to be built from scratch — and it also handles the Reference Documents question (Q1 of the Verification Log) that no dashboard visual could answer at all. The dashboard is more reliable for anything involving raw counts across joined tables, since it exposes exactly which fields and grains are being aggregated, avoiding the fan-out ambiguity observed in Q3.</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2026-09-13T17:25:14.972Z</dcterms:created>
  <dcterms:modified xsi:type="dcterms:W3CDTF">2026-09-13T17:25:14.972Z</dcterms:modified>
</cp:coreProperties>
</file>

<file path=docProps/custom.xml><?xml version="1.0" encoding="utf-8"?>
<Properties xmlns="http://schemas.openxmlformats.org/officeDocument/2006/custom-properties" xmlns:vt="http://schemas.openxmlformats.org/officeDocument/2006/docPropsVTypes"/>
</file>