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NovaTech Revenue Intelligence Dashboard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Executive Summary – Business Intelligence Analytics Project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5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9"/>
                <w:szCs w:val="19"/>
              </w:rPr>
              <w:t xml:space="preserve">To:</w:t>
            </w:r>
          </w:p>
        </w:tc>
        <w:tc>
          <w:tcPr>
            <w:tcW w:type="dxa" w:w="765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9"/>
                <w:szCs w:val="19"/>
              </w:rPr>
              <w:t xml:space="preserve">Sarah Chen, VP of Revenue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9"/>
                <w:szCs w:val="19"/>
              </w:rPr>
              <w:t xml:space="preserve">From:</w:t>
            </w:r>
          </w:p>
        </w:tc>
        <w:tc>
          <w:tcPr>
            <w:tcW w:type="dxa" w:w="765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9"/>
                <w:szCs w:val="19"/>
              </w:rPr>
              <w:t xml:space="preserve">Ecem Bökenheide, BI Analyst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9"/>
                <w:szCs w:val="19"/>
              </w:rPr>
              <w:t xml:space="preserve">Re:</w:t>
            </w:r>
          </w:p>
        </w:tc>
        <w:tc>
          <w:tcPr>
            <w:tcW w:type="dxa" w:w="765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9"/>
                <w:szCs w:val="19"/>
              </w:rPr>
              <w:t xml:space="preserve">Marketing, Sales &amp; Customer Health dashboard – findings and recommendations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> </w:t>
      </w:r>
    </w:p>
    <w:p>
      <w:pPr>
        <w:pBdr>
          <w:bottom w:val="single" w:color="2E75B6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Data Strategy</w:t>
      </w:r>
    </w:p>
    <w:p>
      <w:pPr>
        <w:spacing w:after="140"/>
      </w:pPr>
      <w:r>
        <w:rPr>
          <w:sz w:val="21"/>
          <w:szCs w:val="21"/>
        </w:rPr>
        <w:t xml:space="preserve">Three previously siloed sources – marketing campaign activity, CRM sales pipeline records, and customer support tickets – were combined into a single revenue intelligence dashboard. Rather than leaving these as separate reports for each team, I built one shared account_id-linked view so that marketing, sales, and customer success can see how their numbers affect each other, not just their own metrics. A single blended dataset also lets a company-wide AI assistant (Quick Chat) answer questions that span more than one team without extra setup.</w:t>
      </w:r>
    </w:p>
    <w:p>
      <w:pPr>
        <w:pBdr>
          <w:bottom w:val="single" w:color="2E75B6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Dashboard Design</w:t>
      </w:r>
    </w:p>
    <w:p>
      <w:pPr>
        <w:spacing w:after="140"/>
      </w:pPr>
      <w:r>
        <w:rPr>
          <w:sz w:val="21"/>
          <w:szCs w:val="21"/>
        </w:rPr>
        <w:t xml:space="preserve">The dashboard is organized into three sheets that mirror the customer journey: </w:t>
      </w:r>
      <w:r>
        <w:rPr>
          <w:b/>
          <w:bCs/>
          <w:sz w:val="21"/>
          <w:szCs w:val="21"/>
        </w:rPr>
        <w:t xml:space="preserve">Marketing Funnel</w:t>
      </w:r>
      <w:r>
        <w:rPr>
          <w:sz w:val="21"/>
          <w:szCs w:val="21"/>
        </w:rPr>
        <w:t xml:space="preserve"> (campaign spend, response, and revenue by channel), </w:t>
      </w:r>
      <w:r>
        <w:rPr>
          <w:b/>
          <w:bCs/>
          <w:sz w:val="21"/>
          <w:szCs w:val="21"/>
        </w:rPr>
        <w:t xml:space="preserve">Sales Pipeline</w:t>
      </w:r>
      <w:r>
        <w:rPr>
          <w:sz w:val="21"/>
          <w:szCs w:val="21"/>
        </w:rPr>
        <w:t xml:space="preserve"> (deal stages, win rate, deal size), and </w:t>
      </w:r>
      <w:r>
        <w:rPr>
          <w:b/>
          <w:bCs/>
          <w:sz w:val="21"/>
          <w:szCs w:val="21"/>
        </w:rPr>
        <w:t xml:space="preserve">Customer Health</w:t>
      </w:r>
      <w:r>
        <w:rPr>
          <w:sz w:val="21"/>
          <w:szCs w:val="21"/>
        </w:rPr>
        <w:t xml:space="preserve"> (support tickets, sentiment, and an at-risk account view that blends ticket data with deal value). This sequencing lets a reader follow revenue from acquisition through to retention on one dashboard, and the Customer Health sheet’s Risk Indicators table is a deliberately cross-functional view – it is the one visual no single team’s existing report could have produced on its own.</w:t>
      </w:r>
    </w:p>
    <w:p>
      <w:pPr>
        <w:pBdr>
          <w:bottom w:val="single" w:color="2E75B6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AI-Powered Analysis: How the Topic Improved Accuracy</w:t>
      </w:r>
    </w:p>
    <w:p>
      <w:pPr>
        <w:spacing w:after="140"/>
      </w:pPr>
      <w:r>
        <w:rPr>
          <w:sz w:val="21"/>
          <w:szCs w:val="21"/>
        </w:rPr>
        <w:t xml:space="preserve">I tested Quick Chat, the dashboard’s natural-language assistant, before and after configuring a “Topic” – a business-friendly description of our data (field descriptions, synonyms, and which fields to hide). Before the Topic was configured, a setup gap was also found and fixed: the Topic had no datasets attached at all, which would have left the assistant unable to answer any question about our data. </w:t>
      </w:r>
      <w:r>
        <w:rPr>
          <w:sz w:val="21"/>
          <w:szCs w:val="21"/>
        </w:rPr>
        <w:t xml:space="preserve">The clearest before/after improvement came from the campaign ROI question. </w:t>
      </w:r>
      <w:r>
        <w:rPr>
          <w:sz w:val="21"/>
          <w:szCs w:val="21"/>
        </w:rPr>
        <w:t xml:space="preserve">Before the Topic fix, Quick Chat reported an average ROI of –94% (implying every campaign was losing money). This was traced to a data quirk: spend figures are stored once per campaign but repeated on every underlying lead-level row, and the pre-Topic query summed that repeated value instead of using it once, wildly overstating spend. </w:t>
      </w:r>
      <w:r>
        <w:rPr>
          <w:sz w:val="21"/>
          <w:szCs w:val="21"/>
        </w:rPr>
        <w:t xml:space="preserve">After Topic configuration, Quick Chat correctly used the campaign-level spend and returned an average ROI of +3,254.9%, with all campaigns profitable – a figure independently verified against the underlying data. </w:t>
      </w:r>
      <w:r>
        <w:rPr>
          <w:sz w:val="21"/>
          <w:szCs w:val="21"/>
        </w:rPr>
        <w:t xml:space="preserve">This is a concrete, measurable example of the Topic turning a misleading answer into a correct, board-ready one.</w:t>
      </w:r>
    </w:p>
    <w:p>
      <w:pPr>
        <w:pBdr>
          <w:bottom w:val="single" w:color="2E75B6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Key Insights &amp; Recommended Actions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800"/>
        <w:gridCol w:w="3800"/>
      </w:tblGrid>
      <w:tr>
        <w:tc>
          <w:tcPr>
            <w:tcW w:type="dxa" w:w="1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1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8"/>
                <w:szCs w:val="18"/>
              </w:rPr>
              <w:t xml:space="preserve">Marketing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Partner Referral drives ~60–63% of all campaign revenue ($676,977 of $1,127,223 dashboard-wide) – more than 3x the next channel.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Protect and grow the Partner Referral program (dedicated account management, referral incentives) given how concentrated revenue is in this one channel.</w:t>
            </w:r>
          </w:p>
        </w:tc>
      </w:tr>
      <w:tr>
        <w:tc>
          <w:tcPr>
            <w:tcW w:type="dxa" w:w="1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8"/>
                <w:szCs w:val="18"/>
              </w:rPr>
              <w:t xml:space="preserve">Marketing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After Topic correction, campaign ROI averages +3,254.9% and every campaign is profitable, but NovaEdge Awareness lags far behind at 516.2% ROI vs. NovaPulse Launch’s 6,552.8% (a 12x gap).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Reallocate incremental budget from NovaEdge Awareness toward NovaPulse Launch/Partner Referral, and audit NovaEdge Awareness’s targeting and channel mix.</w:t>
            </w:r>
          </w:p>
        </w:tc>
      </w:tr>
      <w:tr>
        <w:tc>
          <w:tcPr>
            <w:tcW w:type="dxa" w:w="1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8"/>
                <w:szCs w:val="18"/>
              </w:rPr>
              <w:t xml:space="preserve">Sales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Win rate is 63.13% (315 Won / 184 Lost of 499 deals) and average days-to-close has compressed from ~180 days to ~10–30 days.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Audit recent Won deals for discounting/margin trends to confirm faster closes aren’t coming at the cost of deal value, then codify what changed as best practice.</w:t>
            </w:r>
          </w:p>
        </w:tc>
      </w:tr>
      <w:tr>
        <w:tc>
          <w:tcPr>
            <w:tcW w:type="dxa" w:w="1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8"/>
                <w:szCs w:val="18"/>
              </w:rPr>
              <w:t xml:space="preserve">Customer Health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18 accounts combine above-average ticket volume and above-average deal value at risk; YieldMax Software alone has 334 tickets, 63 negative-sentiment tickets and $40,722 at stake.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Assign a dedicated customer success owner to the top 5 at-risk accounts (led by YieldMax Software) for a proactive health check before renewal.</w:t>
            </w:r>
          </w:p>
        </w:tc>
      </w:tr>
      <w:tr>
        <w:tc>
          <w:tcPr>
            <w:tcW w:type="dxa" w:w="1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8"/>
                <w:szCs w:val="18"/>
              </w:rPr>
              <w:t xml:space="preserve">Cross-dataset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Accounts with no Won deals show a 3-point higher negative sentiment rate than accounts with Won deals (26.2% vs 23.2%); negative ticket count correlates moderately with deal value (r=0.566).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Escalate accounts with negative sentiment above 25% to retention specialists ahead of renewal – sentiment predicts deal outcomes better than raw ticket volume.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> </w:t>
      </w:r>
    </w:p>
    <w:p>
      <w:pPr>
        <w:pBdr>
          <w:bottom w:val="single" w:color="2E75B6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Where AI Analysis Agreed or Disagreed with the Dashboard</w:t>
      </w:r>
    </w:p>
    <w:p>
      <w:pPr>
        <w:spacing w:after="140"/>
      </w:pPr>
      <w:r>
        <w:rPr>
          <w:sz w:val="21"/>
          <w:szCs w:val="21"/>
        </w:rPr>
        <w:t xml:space="preserve">Every Quick Chat answer was cross-checked against the dashboard’s own visuals. Most answers matched exactly; one did not, and it was run to ground rather than reported as two conflicting numbers.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600"/>
        <w:gridCol w:w="5000"/>
      </w:tblGrid>
      <w:tr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Win rate (63.13%)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8"/>
                <w:szCs w:val="18"/>
              </w:rPr>
              <w:t xml:space="preserve">Agreed</w:t>
            </w:r>
          </w:p>
        </w:tc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Identical before and after Topic configuration – confirms the figure is reliable.</w:t>
            </w:r>
          </w:p>
        </w:tc>
      </w:tr>
      <w:tr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Partner Referral as top revenue channel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8"/>
                <w:szCs w:val="18"/>
              </w:rPr>
              <w:t xml:space="preserve">Agreed</w:t>
            </w:r>
          </w:p>
        </w:tc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Consistent across dashboard visuals and both Quick Chat passes.</w:t>
            </w:r>
          </w:p>
        </w:tc>
      </w:tr>
      <w:tr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At-risk account list (YieldMax Software, etc.)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8"/>
                <w:szCs w:val="18"/>
              </w:rPr>
              <w:t xml:space="preserve">Agreed</w:t>
            </w:r>
          </w:p>
        </w:tc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Same accounts and figures surfaced by the dashboard table and Quick Chat.</w:t>
            </w:r>
          </w:p>
        </w:tc>
      </w:tr>
      <w:tr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Campaign ROI (–94% vs. +3,254.9%)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E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8"/>
                <w:szCs w:val="18"/>
              </w:rPr>
              <w:t xml:space="preserve">Disagreed – resolved</w:t>
            </w:r>
          </w:p>
        </w:tc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Root-caused to a data fan-out bug: pre-Topic Q summed a campaign-level spend value that is duplicated across lead rows, inflating spend. The Topic-corrected figure (+3,254.9%, all profitable) is the accurate one.</w:t>
            </w:r>
          </w:p>
        </w:tc>
      </w:tr>
      <w:tr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Critical-ticket resolution time (43.0 hrs vs. 56.12 hrs)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8"/>
                <w:szCs w:val="18"/>
              </w:rPr>
              <w:t xml:space="preserve">Minor discrepancy</w:t>
            </w:r>
          </w:p>
        </w:tc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Likely different underlying sample/filter between runs; both are in the same range and don’t change the recommendation.</w:t>
            </w:r>
          </w:p>
        </w:tc>
      </w:tr>
      <w:tr>
        <w:tc>
          <w:tcPr>
            <w:tcW w:type="dxa" w:w="24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Campaign performance by customer segment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b/>
                <w:bCs/>
                <w:sz w:val="18"/>
                <w:szCs w:val="18"/>
              </w:rPr>
              <w:t xml:space="preserve">Could not answer</w:t>
            </w:r>
          </w:p>
        </w:tc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The Marketing Funnel dataset has no shared join key with the Sales Pipeline’s company_size_tier field – documented as a genuine data-model limitation, not an error.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> </w:t>
      </w:r>
    </w:p>
    <w:p>
      <w:pPr>
        <w:pBdr>
          <w:bottom w:val="single" w:color="2E75B6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Bottom Line</w:t>
      </w:r>
    </w:p>
    <w:p>
      <w:pPr>
        <w:spacing w:after="140"/>
      </w:pPr>
      <w:r>
        <w:rPr>
          <w:sz w:val="21"/>
          <w:szCs w:val="21"/>
        </w:rPr>
        <w:t xml:space="preserve">The underlying data supports a straightforward story: our marketing engine is profitable and increasingly efficient, our sales cycle is accelerating in a way worth double-checking for discounting, and a small, identifiable group of accounts carries a disproportionate share of our churn risk. Correcting the Topic configuration didn’t just make the dashboard’s AI assistant more convenient – in the ROI case, it changed a materially wrong answer into a correct one, which is the strongest argument for continuing to invest in Topic maintenance as our data evolves.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2026-09-12T19:33:26.608Z</dcterms:created>
  <dcterms:modified xsi:type="dcterms:W3CDTF">2026-09-12T19:33:26.616Z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