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8846" w14:textId="77777777" w:rsidR="00365A9D" w:rsidRDefault="00000000">
      <w:pPr>
        <w:pStyle w:val="Titel"/>
      </w:pPr>
      <w:r>
        <w:rPr>
          <w:rFonts w:ascii="Calibri" w:eastAsia="Calibri" w:hAnsi="Calibri" w:cs="Calibri"/>
        </w:rPr>
        <w:t>NovaTech Q Exploration Log</w:t>
      </w:r>
    </w:p>
    <w:p w14:paraId="6C01B959" w14:textId="77777777" w:rsidR="00365A9D" w:rsidRDefault="00000000">
      <w:pPr>
        <w:spacing w:after="40"/>
      </w:pPr>
      <w:r>
        <w:rPr>
          <w:rFonts w:ascii="Calibri" w:eastAsia="Calibri" w:hAnsi="Calibri" w:cs="Calibri"/>
          <w:b/>
          <w:bCs/>
          <w:sz w:val="22"/>
          <w:szCs w:val="22"/>
        </w:rPr>
        <w:t xml:space="preserve">Student Name: </w:t>
      </w:r>
      <w:r>
        <w:rPr>
          <w:rFonts w:ascii="Calibri" w:eastAsia="Calibri" w:hAnsi="Calibri" w:cs="Calibri"/>
          <w:sz w:val="22"/>
          <w:szCs w:val="22"/>
        </w:rPr>
        <w:t>Ecem Bökenheide</w:t>
      </w:r>
    </w:p>
    <w:p w14:paraId="193075F5" w14:textId="407D0156" w:rsidR="00365A9D" w:rsidRDefault="00000000">
      <w:pPr>
        <w:spacing w:after="240"/>
      </w:pPr>
      <w:r>
        <w:rPr>
          <w:rFonts w:ascii="Calibri" w:eastAsia="Calibri" w:hAnsi="Calibri" w:cs="Calibri"/>
          <w:b/>
          <w:bCs/>
          <w:sz w:val="22"/>
          <w:szCs w:val="22"/>
        </w:rPr>
        <w:t xml:space="preserve">Date: </w:t>
      </w:r>
      <w:r>
        <w:rPr>
          <w:rFonts w:ascii="Calibri" w:eastAsia="Calibri" w:hAnsi="Calibri" w:cs="Calibri"/>
          <w:sz w:val="22"/>
          <w:szCs w:val="22"/>
        </w:rPr>
        <w:t>September 1</w:t>
      </w:r>
      <w:r w:rsidR="007429F2">
        <w:rPr>
          <w:rFonts w:ascii="Calibri" w:eastAsia="Calibri" w:hAnsi="Calibri" w:cs="Calibri"/>
          <w:sz w:val="22"/>
          <w:szCs w:val="22"/>
        </w:rPr>
        <w:t>3</w:t>
      </w:r>
      <w:r>
        <w:rPr>
          <w:rFonts w:ascii="Calibri" w:eastAsia="Calibri" w:hAnsi="Calibri" w:cs="Calibri"/>
          <w:sz w:val="22"/>
          <w:szCs w:val="22"/>
        </w:rPr>
        <w:t>, 2026</w:t>
      </w:r>
    </w:p>
    <w:p w14:paraId="7329FDC2" w14:textId="77777777" w:rsidR="00365A9D" w:rsidRDefault="00000000">
      <w:pPr>
        <w:pStyle w:val="berschrift1"/>
        <w:spacing w:after="120"/>
      </w:pPr>
      <w:r>
        <w:rPr>
          <w:rFonts w:ascii="Calibri" w:eastAsia="Calibri" w:hAnsi="Calibri" w:cs="Calibri"/>
        </w:rPr>
        <w:t>Q Exploration Questions</w:t>
      </w:r>
    </w:p>
    <w:p w14:paraId="2CF8FFCD" w14:textId="77777777" w:rsidR="00365A9D" w:rsidRDefault="00000000">
      <w:pPr>
        <w:spacing w:after="160"/>
      </w:pPr>
      <w:r>
        <w:rPr>
          <w:rFonts w:ascii="Calibri" w:eastAsia="Calibri" w:hAnsi="Calibri" w:cs="Calibri"/>
          <w:i/>
          <w:iCs/>
        </w:rPr>
        <w:t>For each question, record Q's answer and cross-check against your dashboard.</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1681"/>
        <w:gridCol w:w="3842"/>
        <w:gridCol w:w="1700"/>
        <w:gridCol w:w="2273"/>
        <w:gridCol w:w="662"/>
        <w:gridCol w:w="3846"/>
      </w:tblGrid>
      <w:tr w:rsidR="00365A9D" w14:paraId="2E8E9595" w14:textId="77777777">
        <w:trPr>
          <w:tblHeader/>
        </w:trPr>
        <w:tc>
          <w:tcPr>
            <w:tcW w:w="400" w:type="dxa"/>
            <w:shd w:val="clear" w:color="auto" w:fill="FFFFFF"/>
            <w:tcMar>
              <w:top w:w="80" w:type="dxa"/>
              <w:left w:w="80" w:type="dxa"/>
              <w:bottom w:w="80" w:type="dxa"/>
              <w:right w:w="80" w:type="dxa"/>
            </w:tcMar>
          </w:tcPr>
          <w:p w14:paraId="677A2CEB" w14:textId="77777777" w:rsidR="00365A9D" w:rsidRDefault="00000000">
            <w:r>
              <w:rPr>
                <w:rFonts w:ascii="Calibri" w:eastAsia="Calibri" w:hAnsi="Calibri" w:cs="Calibri"/>
                <w:b/>
                <w:bCs/>
                <w:sz w:val="16"/>
                <w:szCs w:val="16"/>
              </w:rPr>
              <w:t>#</w:t>
            </w:r>
          </w:p>
        </w:tc>
        <w:tc>
          <w:tcPr>
            <w:tcW w:w="1700" w:type="dxa"/>
            <w:shd w:val="clear" w:color="auto" w:fill="FFFFFF"/>
            <w:tcMar>
              <w:top w:w="80" w:type="dxa"/>
              <w:left w:w="80" w:type="dxa"/>
              <w:bottom w:w="80" w:type="dxa"/>
              <w:right w:w="80" w:type="dxa"/>
            </w:tcMar>
          </w:tcPr>
          <w:p w14:paraId="551A1E38" w14:textId="77777777" w:rsidR="00365A9D" w:rsidRDefault="00000000">
            <w:r>
              <w:rPr>
                <w:rFonts w:ascii="Calibri" w:eastAsia="Calibri" w:hAnsi="Calibri" w:cs="Calibri"/>
                <w:b/>
                <w:bCs/>
                <w:sz w:val="16"/>
                <w:szCs w:val="16"/>
              </w:rPr>
              <w:t>Question Asked</w:t>
            </w:r>
          </w:p>
        </w:tc>
        <w:tc>
          <w:tcPr>
            <w:tcW w:w="3900" w:type="dxa"/>
            <w:shd w:val="clear" w:color="auto" w:fill="FFFFFF"/>
            <w:tcMar>
              <w:top w:w="80" w:type="dxa"/>
              <w:left w:w="80" w:type="dxa"/>
              <w:bottom w:w="80" w:type="dxa"/>
              <w:right w:w="80" w:type="dxa"/>
            </w:tcMar>
          </w:tcPr>
          <w:p w14:paraId="660624EE" w14:textId="77777777" w:rsidR="00365A9D" w:rsidRDefault="00000000">
            <w:r>
              <w:rPr>
                <w:rFonts w:ascii="Calibri" w:eastAsia="Calibri" w:hAnsi="Calibri" w:cs="Calibri"/>
                <w:b/>
                <w:bCs/>
                <w:sz w:val="16"/>
                <w:szCs w:val="16"/>
              </w:rPr>
              <w:t>Q's Answer (summarize)</w:t>
            </w:r>
          </w:p>
        </w:tc>
        <w:tc>
          <w:tcPr>
            <w:tcW w:w="1700" w:type="dxa"/>
            <w:shd w:val="clear" w:color="auto" w:fill="FFFFFF"/>
            <w:tcMar>
              <w:top w:w="80" w:type="dxa"/>
              <w:left w:w="80" w:type="dxa"/>
              <w:bottom w:w="80" w:type="dxa"/>
              <w:right w:w="80" w:type="dxa"/>
            </w:tcMar>
          </w:tcPr>
          <w:p w14:paraId="14C3AF75" w14:textId="77777777" w:rsidR="00365A9D" w:rsidRDefault="00000000">
            <w:r>
              <w:rPr>
                <w:rFonts w:ascii="Calibri" w:eastAsia="Calibri" w:hAnsi="Calibri" w:cs="Calibri"/>
                <w:b/>
                <w:bCs/>
                <w:sz w:val="16"/>
                <w:szCs w:val="16"/>
              </w:rPr>
              <w:t>Dashboard Visual Used to Cross-Check</w:t>
            </w:r>
          </w:p>
        </w:tc>
        <w:tc>
          <w:tcPr>
            <w:tcW w:w="2300" w:type="dxa"/>
            <w:shd w:val="clear" w:color="auto" w:fill="FFFFFF"/>
            <w:tcMar>
              <w:top w:w="80" w:type="dxa"/>
              <w:left w:w="80" w:type="dxa"/>
              <w:bottom w:w="80" w:type="dxa"/>
              <w:right w:w="80" w:type="dxa"/>
            </w:tcMar>
          </w:tcPr>
          <w:p w14:paraId="322ECBAF" w14:textId="77777777" w:rsidR="00365A9D" w:rsidRDefault="00000000">
            <w:r>
              <w:rPr>
                <w:rFonts w:ascii="Calibri" w:eastAsia="Calibri" w:hAnsi="Calibri" w:cs="Calibri"/>
                <w:b/>
                <w:bCs/>
                <w:sz w:val="16"/>
                <w:szCs w:val="16"/>
              </w:rPr>
              <w:t>Dashboard Shows</w:t>
            </w:r>
          </w:p>
        </w:tc>
        <w:tc>
          <w:tcPr>
            <w:tcW w:w="500" w:type="dxa"/>
            <w:shd w:val="clear" w:color="auto" w:fill="FFFFFF"/>
            <w:tcMar>
              <w:top w:w="80" w:type="dxa"/>
              <w:left w:w="80" w:type="dxa"/>
              <w:bottom w:w="80" w:type="dxa"/>
              <w:right w:w="80" w:type="dxa"/>
            </w:tcMar>
          </w:tcPr>
          <w:p w14:paraId="4848CA8C" w14:textId="77777777" w:rsidR="00365A9D" w:rsidRDefault="00000000">
            <w:r>
              <w:rPr>
                <w:rFonts w:ascii="Calibri" w:eastAsia="Calibri" w:hAnsi="Calibri" w:cs="Calibri"/>
                <w:b/>
                <w:bCs/>
                <w:sz w:val="16"/>
                <w:szCs w:val="16"/>
              </w:rPr>
              <w:t>Match?</w:t>
            </w:r>
          </w:p>
        </w:tc>
        <w:tc>
          <w:tcPr>
            <w:tcW w:w="3900" w:type="dxa"/>
            <w:shd w:val="clear" w:color="auto" w:fill="FFFFFF"/>
            <w:tcMar>
              <w:top w:w="80" w:type="dxa"/>
              <w:left w:w="80" w:type="dxa"/>
              <w:bottom w:w="80" w:type="dxa"/>
              <w:right w:w="80" w:type="dxa"/>
            </w:tcMar>
          </w:tcPr>
          <w:p w14:paraId="2B8F2BC3" w14:textId="77777777" w:rsidR="00365A9D" w:rsidRDefault="00000000">
            <w:r>
              <w:rPr>
                <w:rFonts w:ascii="Calibri" w:eastAsia="Calibri" w:hAnsi="Calibri" w:cs="Calibri"/>
                <w:b/>
                <w:bCs/>
                <w:sz w:val="16"/>
                <w:szCs w:val="16"/>
              </w:rPr>
              <w:t>Notes</w:t>
            </w:r>
          </w:p>
        </w:tc>
      </w:tr>
      <w:tr w:rsidR="00365A9D" w14:paraId="431CB4AB" w14:textId="77777777">
        <w:tc>
          <w:tcPr>
            <w:tcW w:w="400" w:type="dxa"/>
            <w:shd w:val="clear" w:color="auto" w:fill="FFFFFF"/>
            <w:tcMar>
              <w:top w:w="80" w:type="dxa"/>
              <w:left w:w="80" w:type="dxa"/>
              <w:bottom w:w="80" w:type="dxa"/>
              <w:right w:w="80" w:type="dxa"/>
            </w:tcMar>
          </w:tcPr>
          <w:p w14:paraId="2F0D4262" w14:textId="77777777" w:rsidR="00365A9D" w:rsidRDefault="00000000">
            <w:r>
              <w:rPr>
                <w:rFonts w:ascii="Calibri" w:eastAsia="Calibri" w:hAnsi="Calibri" w:cs="Calibri"/>
                <w:sz w:val="16"/>
                <w:szCs w:val="16"/>
              </w:rPr>
              <w:t>1</w:t>
            </w:r>
          </w:p>
        </w:tc>
        <w:tc>
          <w:tcPr>
            <w:tcW w:w="1700" w:type="dxa"/>
            <w:shd w:val="clear" w:color="auto" w:fill="FFFFFF"/>
            <w:tcMar>
              <w:top w:w="80" w:type="dxa"/>
              <w:left w:w="80" w:type="dxa"/>
              <w:bottom w:w="80" w:type="dxa"/>
              <w:right w:w="80" w:type="dxa"/>
            </w:tcMar>
          </w:tcPr>
          <w:p w14:paraId="2AB8677E" w14:textId="77777777" w:rsidR="00365A9D" w:rsidRDefault="00000000">
            <w:r>
              <w:rPr>
                <w:rFonts w:ascii="Calibri" w:eastAsia="Calibri" w:hAnsi="Calibri" w:cs="Calibri"/>
                <w:sz w:val="16"/>
                <w:szCs w:val="16"/>
              </w:rPr>
              <w:t>Which campaign channel has the highest conversion rate?</w:t>
            </w:r>
          </w:p>
        </w:tc>
        <w:tc>
          <w:tcPr>
            <w:tcW w:w="3900" w:type="dxa"/>
            <w:shd w:val="clear" w:color="auto" w:fill="FFFFFF"/>
            <w:tcMar>
              <w:top w:w="80" w:type="dxa"/>
              <w:left w:w="80" w:type="dxa"/>
              <w:bottom w:w="80" w:type="dxa"/>
              <w:right w:w="80" w:type="dxa"/>
            </w:tcMar>
          </w:tcPr>
          <w:p w14:paraId="7F6727F5" w14:textId="77777777" w:rsidR="00365A9D" w:rsidRDefault="00000000">
            <w:r>
              <w:rPr>
                <w:rFonts w:ascii="Calibri" w:eastAsia="Calibri" w:hAnsi="Calibri" w:cs="Calibri"/>
                <w:sz w:val="16"/>
                <w:szCs w:val="16"/>
              </w:rPr>
              <w:t>Direct Mail has the highest conversion rate at 48.99% (73 conversions out of 149 leads). Full ranking: Direct Mail 48.99%, Partner Referral 31.10% (251 conversions, highest volume), Paid Social ~22.8%, Email 2.78%, Organic Search 0.89% (lowest, despite second-highest lead volume).</w:t>
            </w:r>
          </w:p>
        </w:tc>
        <w:tc>
          <w:tcPr>
            <w:tcW w:w="1700" w:type="dxa"/>
            <w:shd w:val="clear" w:color="auto" w:fill="FFFFFF"/>
            <w:tcMar>
              <w:top w:w="80" w:type="dxa"/>
              <w:left w:w="80" w:type="dxa"/>
              <w:bottom w:w="80" w:type="dxa"/>
              <w:right w:w="80" w:type="dxa"/>
            </w:tcMar>
          </w:tcPr>
          <w:p w14:paraId="3374E461" w14:textId="77777777" w:rsidR="00365A9D" w:rsidRDefault="00000000">
            <w:r>
              <w:rPr>
                <w:rFonts w:ascii="Calibri" w:eastAsia="Calibri" w:hAnsi="Calibri" w:cs="Calibri"/>
                <w:sz w:val="16"/>
                <w:szCs w:val="16"/>
              </w:rPr>
              <w:t>Marketing Funnel — "Average of Campaign_response by Campaign_channel"</w:t>
            </w:r>
          </w:p>
        </w:tc>
        <w:tc>
          <w:tcPr>
            <w:tcW w:w="2300" w:type="dxa"/>
            <w:shd w:val="clear" w:color="auto" w:fill="FFFFFF"/>
            <w:tcMar>
              <w:top w:w="80" w:type="dxa"/>
              <w:left w:w="80" w:type="dxa"/>
              <w:bottom w:w="80" w:type="dxa"/>
              <w:right w:w="80" w:type="dxa"/>
            </w:tcMar>
          </w:tcPr>
          <w:p w14:paraId="266A392D" w14:textId="77777777" w:rsidR="00365A9D" w:rsidRDefault="00000000">
            <w:r>
              <w:rPr>
                <w:rFonts w:ascii="Calibri" w:eastAsia="Calibri" w:hAnsi="Calibri" w:cs="Calibri"/>
                <w:sz w:val="16"/>
                <w:szCs w:val="16"/>
              </w:rPr>
              <w:t>Direct Mail has the highest average campaign response, followed by Paid Social, Partner Referral, Organic Search, and Email.</w:t>
            </w:r>
          </w:p>
        </w:tc>
        <w:tc>
          <w:tcPr>
            <w:tcW w:w="500" w:type="dxa"/>
            <w:shd w:val="clear" w:color="auto" w:fill="FFFFFF"/>
            <w:tcMar>
              <w:top w:w="80" w:type="dxa"/>
              <w:left w:w="80" w:type="dxa"/>
              <w:bottom w:w="80" w:type="dxa"/>
              <w:right w:w="80" w:type="dxa"/>
            </w:tcMar>
          </w:tcPr>
          <w:p w14:paraId="54204851" w14:textId="77777777" w:rsidR="00365A9D" w:rsidRDefault="00000000">
            <w:r>
              <w:rPr>
                <w:rFonts w:ascii="Calibri" w:eastAsia="Calibri" w:hAnsi="Calibri" w:cs="Calibri"/>
                <w:b/>
                <w:bCs/>
                <w:sz w:val="16"/>
                <w:szCs w:val="16"/>
              </w:rPr>
              <w:t>~ Partial</w:t>
            </w:r>
          </w:p>
        </w:tc>
        <w:tc>
          <w:tcPr>
            <w:tcW w:w="3900" w:type="dxa"/>
            <w:shd w:val="clear" w:color="auto" w:fill="FFFFFF"/>
            <w:tcMar>
              <w:top w:w="80" w:type="dxa"/>
              <w:left w:w="80" w:type="dxa"/>
              <w:bottom w:w="80" w:type="dxa"/>
              <w:right w:w="80" w:type="dxa"/>
            </w:tcMar>
          </w:tcPr>
          <w:p w14:paraId="75832483" w14:textId="77777777" w:rsidR="00365A9D" w:rsidRDefault="00000000">
            <w:r>
              <w:rPr>
                <w:rFonts w:ascii="Calibri" w:hAnsi="Calibri"/>
                <w:sz w:val="16"/>
              </w:rPr>
              <w:t>Direct Mail ranks #1 in both measures, but campaign_response and lead-to-close conversion rate are different metrics. The remaining channel rankings differ, so the dashboard provides only a partial cross-check of Q's answer.</w:t>
            </w:r>
          </w:p>
        </w:tc>
      </w:tr>
      <w:tr w:rsidR="00365A9D" w14:paraId="37A3A9DE" w14:textId="77777777">
        <w:tc>
          <w:tcPr>
            <w:tcW w:w="400" w:type="dxa"/>
            <w:shd w:val="clear" w:color="auto" w:fill="FFFFFF"/>
            <w:tcMar>
              <w:top w:w="80" w:type="dxa"/>
              <w:left w:w="80" w:type="dxa"/>
              <w:bottom w:w="80" w:type="dxa"/>
              <w:right w:w="80" w:type="dxa"/>
            </w:tcMar>
          </w:tcPr>
          <w:p w14:paraId="3F4BE05C" w14:textId="77777777" w:rsidR="00365A9D" w:rsidRDefault="00000000">
            <w:r>
              <w:rPr>
                <w:rFonts w:ascii="Calibri" w:eastAsia="Calibri" w:hAnsi="Calibri" w:cs="Calibri"/>
                <w:sz w:val="16"/>
                <w:szCs w:val="16"/>
              </w:rPr>
              <w:t>2</w:t>
            </w:r>
          </w:p>
        </w:tc>
        <w:tc>
          <w:tcPr>
            <w:tcW w:w="1700" w:type="dxa"/>
            <w:shd w:val="clear" w:color="auto" w:fill="FFFFFF"/>
            <w:tcMar>
              <w:top w:w="80" w:type="dxa"/>
              <w:left w:w="80" w:type="dxa"/>
              <w:bottom w:w="80" w:type="dxa"/>
              <w:right w:w="80" w:type="dxa"/>
            </w:tcMar>
          </w:tcPr>
          <w:p w14:paraId="5CEAF3E6" w14:textId="77777777" w:rsidR="00365A9D" w:rsidRDefault="00000000">
            <w:r>
              <w:rPr>
                <w:rFonts w:ascii="Calibri" w:eastAsia="Calibri" w:hAnsi="Calibri" w:cs="Calibri"/>
                <w:sz w:val="16"/>
                <w:szCs w:val="16"/>
              </w:rPr>
              <w:t>What is the average deal size by company size?</w:t>
            </w:r>
          </w:p>
        </w:tc>
        <w:tc>
          <w:tcPr>
            <w:tcW w:w="3900" w:type="dxa"/>
            <w:shd w:val="clear" w:color="auto" w:fill="FFFFFF"/>
            <w:tcMar>
              <w:top w:w="80" w:type="dxa"/>
              <w:left w:w="80" w:type="dxa"/>
              <w:bottom w:w="80" w:type="dxa"/>
              <w:right w:w="80" w:type="dxa"/>
            </w:tcMar>
          </w:tcPr>
          <w:p w14:paraId="3C9BAD86" w14:textId="77777777" w:rsidR="00365A9D" w:rsidRDefault="00000000">
            <w:r>
              <w:rPr>
                <w:rFonts w:ascii="Calibri" w:eastAsia="Calibri" w:hAnsi="Calibri" w:cs="Calibri"/>
                <w:sz w:val="16"/>
                <w:szCs w:val="16"/>
              </w:rPr>
              <w:t>Enterprise has the highest average deal value at $1,589.17 across 201 deals. Large accounts, despite having the most deals (216), have the lowest average deal size at $1,257.47. Small and Medium tiers have far fewer deals (39 and 43) so their averages are less statistically robust. Deal size does not scale linearly with company size — Small actually beats both Medium and Large.</w:t>
            </w:r>
          </w:p>
        </w:tc>
        <w:tc>
          <w:tcPr>
            <w:tcW w:w="1700" w:type="dxa"/>
            <w:shd w:val="clear" w:color="auto" w:fill="FFFFFF"/>
            <w:tcMar>
              <w:top w:w="80" w:type="dxa"/>
              <w:left w:w="80" w:type="dxa"/>
              <w:bottom w:w="80" w:type="dxa"/>
              <w:right w:w="80" w:type="dxa"/>
            </w:tcMar>
          </w:tcPr>
          <w:p w14:paraId="3B5CC7E5" w14:textId="77777777" w:rsidR="00365A9D" w:rsidRDefault="00000000">
            <w:r>
              <w:rPr>
                <w:rFonts w:ascii="Calibri" w:eastAsia="Calibri" w:hAnsi="Calibri" w:cs="Calibri"/>
                <w:sz w:val="16"/>
                <w:szCs w:val="16"/>
              </w:rPr>
              <w:t>Sales Pipeline — "Average of Deal_value by Company_size_tier"</w:t>
            </w:r>
          </w:p>
        </w:tc>
        <w:tc>
          <w:tcPr>
            <w:tcW w:w="2300" w:type="dxa"/>
            <w:shd w:val="clear" w:color="auto" w:fill="FFFFFF"/>
            <w:tcMar>
              <w:top w:w="80" w:type="dxa"/>
              <w:left w:w="80" w:type="dxa"/>
              <w:bottom w:w="80" w:type="dxa"/>
              <w:right w:w="80" w:type="dxa"/>
            </w:tcMar>
          </w:tcPr>
          <w:p w14:paraId="716D6A57" w14:textId="77777777" w:rsidR="00365A9D" w:rsidRDefault="00000000">
            <w:r>
              <w:rPr>
                <w:rFonts w:ascii="Calibri" w:eastAsia="Calibri" w:hAnsi="Calibri" w:cs="Calibri"/>
                <w:sz w:val="16"/>
                <w:szCs w:val="16"/>
              </w:rPr>
              <w:t>Bars in descending order: Enterprise (~$1.59K, highest), Small (~$1.5K), Medium (~$1.35K), Large (~$1.26K, lowest).</w:t>
            </w:r>
          </w:p>
        </w:tc>
        <w:tc>
          <w:tcPr>
            <w:tcW w:w="500" w:type="dxa"/>
            <w:shd w:val="clear" w:color="auto" w:fill="FFFFFF"/>
            <w:tcMar>
              <w:top w:w="80" w:type="dxa"/>
              <w:left w:w="80" w:type="dxa"/>
              <w:bottom w:w="80" w:type="dxa"/>
              <w:right w:w="80" w:type="dxa"/>
            </w:tcMar>
          </w:tcPr>
          <w:p w14:paraId="0D9576C2" w14:textId="77777777" w:rsidR="00365A9D" w:rsidRDefault="00000000">
            <w:r>
              <w:rPr>
                <w:rFonts w:ascii="Calibri" w:eastAsia="Calibri" w:hAnsi="Calibri" w:cs="Calibri"/>
                <w:b/>
                <w:bCs/>
                <w:sz w:val="16"/>
                <w:szCs w:val="16"/>
              </w:rPr>
              <w:t>✔ Yes</w:t>
            </w:r>
          </w:p>
        </w:tc>
        <w:tc>
          <w:tcPr>
            <w:tcW w:w="3900" w:type="dxa"/>
            <w:shd w:val="clear" w:color="auto" w:fill="FFFFFF"/>
            <w:tcMar>
              <w:top w:w="80" w:type="dxa"/>
              <w:left w:w="80" w:type="dxa"/>
              <w:bottom w:w="80" w:type="dxa"/>
              <w:right w:w="80" w:type="dxa"/>
            </w:tcMar>
          </w:tcPr>
          <w:p w14:paraId="39F99A5D" w14:textId="77777777" w:rsidR="00365A9D" w:rsidRDefault="00000000">
            <w:r>
              <w:rPr>
                <w:rFonts w:ascii="Calibri" w:eastAsia="Calibri" w:hAnsi="Calibri" w:cs="Calibri"/>
                <w:sz w:val="16"/>
                <w:szCs w:val="16"/>
              </w:rPr>
              <w:t>Exact ranking match: Enterprise highest, followed by Small, Medium, and Large lowest. The dashboard confirms the average deal-value ordering; deal-count comparisons are not shown in this visual.</w:t>
            </w:r>
          </w:p>
        </w:tc>
      </w:tr>
      <w:tr w:rsidR="00365A9D" w14:paraId="28DF2D8A" w14:textId="77777777">
        <w:tc>
          <w:tcPr>
            <w:tcW w:w="400" w:type="dxa"/>
            <w:shd w:val="clear" w:color="auto" w:fill="FFFFFF"/>
            <w:tcMar>
              <w:top w:w="80" w:type="dxa"/>
              <w:left w:w="80" w:type="dxa"/>
              <w:bottom w:w="80" w:type="dxa"/>
              <w:right w:w="80" w:type="dxa"/>
            </w:tcMar>
          </w:tcPr>
          <w:p w14:paraId="1CB87973" w14:textId="77777777" w:rsidR="00365A9D" w:rsidRDefault="00000000">
            <w:r>
              <w:rPr>
                <w:rFonts w:ascii="Calibri" w:eastAsia="Calibri" w:hAnsi="Calibri" w:cs="Calibri"/>
                <w:sz w:val="16"/>
                <w:szCs w:val="16"/>
              </w:rPr>
              <w:t>3</w:t>
            </w:r>
          </w:p>
        </w:tc>
        <w:tc>
          <w:tcPr>
            <w:tcW w:w="1700" w:type="dxa"/>
            <w:shd w:val="clear" w:color="auto" w:fill="FFFFFF"/>
            <w:tcMar>
              <w:top w:w="80" w:type="dxa"/>
              <w:left w:w="80" w:type="dxa"/>
              <w:bottom w:w="80" w:type="dxa"/>
              <w:right w:w="80" w:type="dxa"/>
            </w:tcMar>
          </w:tcPr>
          <w:p w14:paraId="6C17F569" w14:textId="77777777" w:rsidR="00365A9D" w:rsidRDefault="00000000">
            <w:r>
              <w:rPr>
                <w:rFonts w:ascii="Calibri" w:eastAsia="Calibri" w:hAnsi="Calibri" w:cs="Calibri"/>
                <w:sz w:val="16"/>
                <w:szCs w:val="16"/>
              </w:rPr>
              <w:t>What is the average resolution time for critical vs. low-priority tickets?</w:t>
            </w:r>
          </w:p>
        </w:tc>
        <w:tc>
          <w:tcPr>
            <w:tcW w:w="3900" w:type="dxa"/>
            <w:shd w:val="clear" w:color="auto" w:fill="FFFFFF"/>
            <w:tcMar>
              <w:top w:w="80" w:type="dxa"/>
              <w:left w:w="80" w:type="dxa"/>
              <w:bottom w:w="80" w:type="dxa"/>
              <w:right w:w="80" w:type="dxa"/>
            </w:tcMar>
          </w:tcPr>
          <w:p w14:paraId="6E2EA5AB" w14:textId="77777777" w:rsidR="00365A9D" w:rsidRDefault="00000000">
            <w:r>
              <w:rPr>
                <w:rFonts w:ascii="Calibri" w:eastAsia="Calibri" w:hAnsi="Calibri" w:cs="Calibri"/>
                <w:sz w:val="16"/>
                <w:szCs w:val="16"/>
              </w:rPr>
              <w:t>Critical tickets resolve about 5 hours faster on average (~56 hours) than Low-priority tickets (~61.02 hours) — consistent with critical issues being escalated for quicker turnaround, though the gap is a modest ~8%. Low-priority tickets make up by far the largest ticket volume.</w:t>
            </w:r>
          </w:p>
        </w:tc>
        <w:tc>
          <w:tcPr>
            <w:tcW w:w="1700" w:type="dxa"/>
            <w:shd w:val="clear" w:color="auto" w:fill="FFFFFF"/>
            <w:tcMar>
              <w:top w:w="80" w:type="dxa"/>
              <w:left w:w="80" w:type="dxa"/>
              <w:bottom w:w="80" w:type="dxa"/>
              <w:right w:w="80" w:type="dxa"/>
            </w:tcMar>
          </w:tcPr>
          <w:p w14:paraId="0E9679F3" w14:textId="77777777" w:rsidR="00365A9D" w:rsidRDefault="00000000">
            <w:r>
              <w:rPr>
                <w:rFonts w:ascii="Calibri" w:eastAsia="Calibri" w:hAnsi="Calibri" w:cs="Calibri"/>
                <w:sz w:val="16"/>
                <w:szCs w:val="16"/>
              </w:rPr>
              <w:t>Customer Health — "Average of Resolution_time_hours by Priority"</w:t>
            </w:r>
          </w:p>
        </w:tc>
        <w:tc>
          <w:tcPr>
            <w:tcW w:w="2300" w:type="dxa"/>
            <w:shd w:val="clear" w:color="auto" w:fill="FFFFFF"/>
            <w:tcMar>
              <w:top w:w="80" w:type="dxa"/>
              <w:left w:w="80" w:type="dxa"/>
              <w:bottom w:w="80" w:type="dxa"/>
              <w:right w:w="80" w:type="dxa"/>
            </w:tcMar>
          </w:tcPr>
          <w:p w14:paraId="3DD11740" w14:textId="77777777" w:rsidR="00365A9D" w:rsidRDefault="00000000">
            <w:r>
              <w:rPr>
                <w:rFonts w:ascii="Calibri" w:eastAsia="Calibri" w:hAnsi="Calibri" w:cs="Calibri"/>
                <w:sz w:val="16"/>
                <w:szCs w:val="16"/>
              </w:rPr>
              <w:t>All four priority bars cluster closely in the mid-to-high 50-hour range. Critical is visually the shortest, Low the longest, with High and Medium in between.</w:t>
            </w:r>
          </w:p>
        </w:tc>
        <w:tc>
          <w:tcPr>
            <w:tcW w:w="500" w:type="dxa"/>
            <w:shd w:val="clear" w:color="auto" w:fill="FFFFFF"/>
            <w:tcMar>
              <w:top w:w="80" w:type="dxa"/>
              <w:left w:w="80" w:type="dxa"/>
              <w:bottom w:w="80" w:type="dxa"/>
              <w:right w:w="80" w:type="dxa"/>
            </w:tcMar>
          </w:tcPr>
          <w:p w14:paraId="1975C007" w14:textId="77777777" w:rsidR="00365A9D" w:rsidRDefault="00000000">
            <w:r>
              <w:rPr>
                <w:rFonts w:ascii="Calibri" w:eastAsia="Calibri" w:hAnsi="Calibri" w:cs="Calibri"/>
                <w:b/>
                <w:bCs/>
                <w:sz w:val="16"/>
                <w:szCs w:val="16"/>
              </w:rPr>
              <w:t>~ Partial</w:t>
            </w:r>
          </w:p>
        </w:tc>
        <w:tc>
          <w:tcPr>
            <w:tcW w:w="3900" w:type="dxa"/>
            <w:shd w:val="clear" w:color="auto" w:fill="FFFFFF"/>
            <w:tcMar>
              <w:top w:w="80" w:type="dxa"/>
              <w:left w:w="80" w:type="dxa"/>
              <w:bottom w:w="80" w:type="dxa"/>
              <w:right w:w="80" w:type="dxa"/>
            </w:tcMar>
          </w:tcPr>
          <w:p w14:paraId="555494D9" w14:textId="77777777" w:rsidR="00365A9D" w:rsidRDefault="00000000">
            <w:r>
              <w:rPr>
                <w:rFonts w:ascii="Calibri" w:hAnsi="Calibri"/>
                <w:sz w:val="16"/>
              </w:rPr>
              <w:t>The direction is correct: Critical resolves fastest and Low resolves slowest. However, Q's roughly 5-hour gap appears larger than the dashboard visual, which suggests only about a 2-3 hour difference, so this is a partial match.</w:t>
            </w:r>
          </w:p>
        </w:tc>
      </w:tr>
      <w:tr w:rsidR="00365A9D" w14:paraId="160ADB49" w14:textId="77777777">
        <w:tc>
          <w:tcPr>
            <w:tcW w:w="400" w:type="dxa"/>
            <w:shd w:val="clear" w:color="auto" w:fill="FFFFFF"/>
            <w:tcMar>
              <w:top w:w="80" w:type="dxa"/>
              <w:left w:w="80" w:type="dxa"/>
              <w:bottom w:w="80" w:type="dxa"/>
              <w:right w:w="80" w:type="dxa"/>
            </w:tcMar>
          </w:tcPr>
          <w:p w14:paraId="14E2BF68" w14:textId="77777777" w:rsidR="00365A9D" w:rsidRDefault="00000000">
            <w:r>
              <w:rPr>
                <w:rFonts w:ascii="Calibri" w:eastAsia="Calibri" w:hAnsi="Calibri" w:cs="Calibri"/>
                <w:sz w:val="16"/>
                <w:szCs w:val="16"/>
              </w:rPr>
              <w:t>4</w:t>
            </w:r>
          </w:p>
        </w:tc>
        <w:tc>
          <w:tcPr>
            <w:tcW w:w="1700" w:type="dxa"/>
            <w:shd w:val="clear" w:color="auto" w:fill="FFFFFF"/>
            <w:tcMar>
              <w:top w:w="80" w:type="dxa"/>
              <w:left w:w="80" w:type="dxa"/>
              <w:bottom w:w="80" w:type="dxa"/>
              <w:right w:w="80" w:type="dxa"/>
            </w:tcMar>
          </w:tcPr>
          <w:p w14:paraId="59D5BC11" w14:textId="77777777" w:rsidR="00365A9D" w:rsidRDefault="00000000">
            <w:r>
              <w:rPr>
                <w:rFonts w:ascii="Calibri" w:eastAsia="Calibri" w:hAnsi="Calibri" w:cs="Calibri"/>
                <w:sz w:val="16"/>
                <w:szCs w:val="16"/>
              </w:rPr>
              <w:t>What are the top 10 accounts by support ticket volume, and what is their total deal revenue?</w:t>
            </w:r>
          </w:p>
        </w:tc>
        <w:tc>
          <w:tcPr>
            <w:tcW w:w="3900" w:type="dxa"/>
            <w:shd w:val="clear" w:color="auto" w:fill="FFFFFF"/>
            <w:tcMar>
              <w:top w:w="80" w:type="dxa"/>
              <w:left w:w="80" w:type="dxa"/>
              <w:bottom w:w="80" w:type="dxa"/>
              <w:right w:w="80" w:type="dxa"/>
            </w:tcMar>
          </w:tcPr>
          <w:p w14:paraId="779CB65C" w14:textId="77777777" w:rsidR="00365A9D" w:rsidRDefault="00000000">
            <w:r>
              <w:rPr>
                <w:rFonts w:ascii="Calibri" w:eastAsia="Calibri" w:hAnsi="Calibri" w:cs="Calibri"/>
                <w:sz w:val="16"/>
                <w:szCs w:val="16"/>
              </w:rPr>
              <w:t>Ranked list led by YieldMax Software (ACCT-041) with 334 tickets and $40,722 in deal revenue — nearly double the next account. Followed by TrueNorth Electronics, LionGate Holdings, AlphaCore Technologies, RedCedar Software, UltraLink Communications, MapleCrest Retail, HavenCrest Communications, PineRidge Global, and LakeView Software. UltraLink and MapleCrest show the weakest revenue-to-ticket ratio (higher support burden relative to revenue).</w:t>
            </w:r>
          </w:p>
        </w:tc>
        <w:tc>
          <w:tcPr>
            <w:tcW w:w="1700" w:type="dxa"/>
            <w:shd w:val="clear" w:color="auto" w:fill="FFFFFF"/>
            <w:tcMar>
              <w:top w:w="80" w:type="dxa"/>
              <w:left w:w="80" w:type="dxa"/>
              <w:bottom w:w="80" w:type="dxa"/>
              <w:right w:w="80" w:type="dxa"/>
            </w:tcMar>
          </w:tcPr>
          <w:p w14:paraId="520CCDA0" w14:textId="77777777" w:rsidR="00365A9D" w:rsidRDefault="00000000">
            <w:r>
              <w:rPr>
                <w:rFonts w:ascii="Calibri" w:eastAsia="Calibri" w:hAnsi="Calibri" w:cs="Calibri"/>
                <w:sz w:val="16"/>
                <w:szCs w:val="16"/>
              </w:rPr>
              <w:t>Customer Health — "Top Accounts by Support Ticket Volume" + "Risk Indicators – At-Risk Accounts (High Tickets, Negative Sentiment, High Deal Value)" table</w:t>
            </w:r>
          </w:p>
        </w:tc>
        <w:tc>
          <w:tcPr>
            <w:tcW w:w="2300" w:type="dxa"/>
            <w:shd w:val="clear" w:color="auto" w:fill="FFFFFF"/>
            <w:tcMar>
              <w:top w:w="80" w:type="dxa"/>
              <w:left w:w="80" w:type="dxa"/>
              <w:bottom w:w="80" w:type="dxa"/>
              <w:right w:w="80" w:type="dxa"/>
            </w:tcMar>
          </w:tcPr>
          <w:p w14:paraId="503943AC" w14:textId="77777777" w:rsidR="00365A9D" w:rsidRDefault="00000000">
            <w:r>
              <w:rPr>
                <w:rFonts w:ascii="Calibri" w:hAnsi="Calibri"/>
                <w:sz w:val="16"/>
              </w:rPr>
              <w:t>The Top Accounts by Support Ticket Volume chart shows the same top 10 accounts in the same order as Q: ACCT-041, 035, 076, 043, 060, 036, 020, 072, 025, and 018. The Risk Indicators table confirms the corresponding ticket counts and deal values, including YieldMax Software at 334 tickets and $40,722.</w:t>
            </w:r>
          </w:p>
        </w:tc>
        <w:tc>
          <w:tcPr>
            <w:tcW w:w="500" w:type="dxa"/>
            <w:shd w:val="clear" w:color="auto" w:fill="FFFFFF"/>
            <w:tcMar>
              <w:top w:w="80" w:type="dxa"/>
              <w:left w:w="80" w:type="dxa"/>
              <w:bottom w:w="80" w:type="dxa"/>
              <w:right w:w="80" w:type="dxa"/>
            </w:tcMar>
          </w:tcPr>
          <w:p w14:paraId="3FE60170" w14:textId="77777777" w:rsidR="00365A9D" w:rsidRDefault="00000000">
            <w:r>
              <w:rPr>
                <w:rFonts w:ascii="Calibri" w:hAnsi="Calibri"/>
                <w:b/>
                <w:sz w:val="16"/>
              </w:rPr>
              <w:t>✔ Yes</w:t>
            </w:r>
          </w:p>
        </w:tc>
        <w:tc>
          <w:tcPr>
            <w:tcW w:w="3900" w:type="dxa"/>
            <w:shd w:val="clear" w:color="auto" w:fill="FFFFFF"/>
            <w:tcMar>
              <w:top w:w="80" w:type="dxa"/>
              <w:left w:w="80" w:type="dxa"/>
              <w:bottom w:w="80" w:type="dxa"/>
              <w:right w:w="80" w:type="dxa"/>
            </w:tcMar>
          </w:tcPr>
          <w:p w14:paraId="75D20B5D" w14:textId="77777777" w:rsidR="00365A9D" w:rsidRDefault="00000000">
            <w:r>
              <w:rPr>
                <w:rFonts w:ascii="Calibri" w:hAnsi="Calibri"/>
                <w:sz w:val="16"/>
              </w:rPr>
              <w:t>Q matches the dedicated support-ticket-volume chart. The Risk Indicators table is sorted by negative ticket count, not total ticket volume, so its row order is different; that does not contradict Q's top-10 ranking.</w:t>
            </w:r>
          </w:p>
        </w:tc>
      </w:tr>
      <w:tr w:rsidR="00365A9D" w14:paraId="361574B6" w14:textId="77777777">
        <w:tc>
          <w:tcPr>
            <w:tcW w:w="400" w:type="dxa"/>
            <w:shd w:val="clear" w:color="auto" w:fill="FFFFFF"/>
            <w:tcMar>
              <w:top w:w="80" w:type="dxa"/>
              <w:left w:w="80" w:type="dxa"/>
              <w:bottom w:w="80" w:type="dxa"/>
              <w:right w:w="80" w:type="dxa"/>
            </w:tcMar>
          </w:tcPr>
          <w:p w14:paraId="398B3398" w14:textId="77777777" w:rsidR="00365A9D" w:rsidRDefault="00000000">
            <w:r>
              <w:rPr>
                <w:rFonts w:ascii="Calibri" w:eastAsia="Calibri" w:hAnsi="Calibri" w:cs="Calibri"/>
                <w:sz w:val="16"/>
                <w:szCs w:val="16"/>
              </w:rPr>
              <w:t>5</w:t>
            </w:r>
          </w:p>
        </w:tc>
        <w:tc>
          <w:tcPr>
            <w:tcW w:w="1700" w:type="dxa"/>
            <w:shd w:val="clear" w:color="auto" w:fill="FFFFFF"/>
            <w:tcMar>
              <w:top w:w="80" w:type="dxa"/>
              <w:left w:w="80" w:type="dxa"/>
              <w:bottom w:w="80" w:type="dxa"/>
              <w:right w:w="80" w:type="dxa"/>
            </w:tcMar>
          </w:tcPr>
          <w:p w14:paraId="2C473147" w14:textId="77777777" w:rsidR="00365A9D" w:rsidRDefault="00000000">
            <w:r>
              <w:rPr>
                <w:rFonts w:ascii="Calibri" w:eastAsia="Calibri" w:hAnsi="Calibri" w:cs="Calibri"/>
                <w:sz w:val="16"/>
                <w:szCs w:val="16"/>
              </w:rPr>
              <w:t>Are there any campaigns where we spent more than we earned back?</w:t>
            </w:r>
          </w:p>
        </w:tc>
        <w:tc>
          <w:tcPr>
            <w:tcW w:w="3900" w:type="dxa"/>
            <w:shd w:val="clear" w:color="auto" w:fill="FFFFFF"/>
            <w:tcMar>
              <w:top w:w="80" w:type="dxa"/>
              <w:left w:w="80" w:type="dxa"/>
              <w:bottom w:w="80" w:type="dxa"/>
              <w:right w:w="80" w:type="dxa"/>
            </w:tcMar>
          </w:tcPr>
          <w:p w14:paraId="423A2937" w14:textId="77777777" w:rsidR="00365A9D" w:rsidRDefault="00000000">
            <w:r>
              <w:rPr>
                <w:rFonts w:ascii="Calibri" w:eastAsia="Calibri" w:hAnsi="Calibri" w:cs="Calibri"/>
                <w:sz w:val="16"/>
                <w:szCs w:val="16"/>
              </w:rPr>
              <w:t xml:space="preserve">Yes — every one of the 6 campaigns has spend exceeding attributed revenue, for a combined unrecovered spend of approximately $11.2M. Digital Retarget has the largest deficit (~$2.2M) despite being a </w:t>
            </w:r>
            <w:r>
              <w:rPr>
                <w:rFonts w:ascii="Calibri" w:eastAsia="Calibri" w:hAnsi="Calibri" w:cs="Calibri"/>
                <w:sz w:val="16"/>
                <w:szCs w:val="16"/>
              </w:rPr>
              <w:lastRenderedPageBreak/>
              <w:t>retargeting campaign meant for high conversion efficiency. NovaPulse Launch generated the most revenue ($394K) but still fell short by over $2M. NovaEdge Awareness has the smallest deficit but also the lowest revenue attribution ($34K).</w:t>
            </w:r>
          </w:p>
        </w:tc>
        <w:tc>
          <w:tcPr>
            <w:tcW w:w="1700" w:type="dxa"/>
            <w:shd w:val="clear" w:color="auto" w:fill="FFFFFF"/>
            <w:tcMar>
              <w:top w:w="80" w:type="dxa"/>
              <w:left w:w="80" w:type="dxa"/>
              <w:bottom w:w="80" w:type="dxa"/>
              <w:right w:w="80" w:type="dxa"/>
            </w:tcMar>
          </w:tcPr>
          <w:p w14:paraId="4C4BF434" w14:textId="77777777" w:rsidR="00365A9D" w:rsidRDefault="00000000">
            <w:r>
              <w:rPr>
                <w:rFonts w:ascii="Calibri" w:eastAsia="Calibri" w:hAnsi="Calibri" w:cs="Calibri"/>
                <w:sz w:val="16"/>
                <w:szCs w:val="16"/>
              </w:rPr>
              <w:lastRenderedPageBreak/>
              <w:t xml:space="preserve">Marketing Funnel — "Sum of Campaign_spend and Sum of </w:t>
            </w:r>
            <w:r>
              <w:rPr>
                <w:rFonts w:ascii="Calibri" w:eastAsia="Calibri" w:hAnsi="Calibri" w:cs="Calibri"/>
                <w:sz w:val="16"/>
                <w:szCs w:val="16"/>
              </w:rPr>
              <w:lastRenderedPageBreak/>
              <w:t>Revenue_attributed by Campaign_name" (combo chart)</w:t>
            </w:r>
          </w:p>
        </w:tc>
        <w:tc>
          <w:tcPr>
            <w:tcW w:w="2300" w:type="dxa"/>
            <w:shd w:val="clear" w:color="auto" w:fill="FFFFFF"/>
            <w:tcMar>
              <w:top w:w="80" w:type="dxa"/>
              <w:left w:w="80" w:type="dxa"/>
              <w:bottom w:w="80" w:type="dxa"/>
              <w:right w:w="80" w:type="dxa"/>
            </w:tcMar>
          </w:tcPr>
          <w:p w14:paraId="18E444D6" w14:textId="77777777" w:rsidR="00365A9D" w:rsidRDefault="00000000">
            <w:r>
              <w:rPr>
                <w:rFonts w:ascii="Calibri" w:eastAsia="Calibri" w:hAnsi="Calibri" w:cs="Calibri"/>
                <w:sz w:val="16"/>
                <w:szCs w:val="16"/>
              </w:rPr>
              <w:lastRenderedPageBreak/>
              <w:t xml:space="preserve">Every campaign's spend bar is visibly much longer than its paired revenue bar, with Digital Retarget and NovaPulse Launch </w:t>
            </w:r>
            <w:r>
              <w:rPr>
                <w:rFonts w:ascii="Calibri" w:eastAsia="Calibri" w:hAnsi="Calibri" w:cs="Calibri"/>
                <w:sz w:val="16"/>
                <w:szCs w:val="16"/>
              </w:rPr>
              <w:lastRenderedPageBreak/>
              <w:t>showing the largest absolute gaps and NovaEdge Awareness the smallest.</w:t>
            </w:r>
          </w:p>
        </w:tc>
        <w:tc>
          <w:tcPr>
            <w:tcW w:w="500" w:type="dxa"/>
            <w:shd w:val="clear" w:color="auto" w:fill="FFFFFF"/>
            <w:tcMar>
              <w:top w:w="80" w:type="dxa"/>
              <w:left w:w="80" w:type="dxa"/>
              <w:bottom w:w="80" w:type="dxa"/>
              <w:right w:w="80" w:type="dxa"/>
            </w:tcMar>
          </w:tcPr>
          <w:p w14:paraId="08318656" w14:textId="77777777" w:rsidR="00365A9D" w:rsidRDefault="00000000">
            <w:r>
              <w:rPr>
                <w:rFonts w:ascii="Calibri" w:eastAsia="Calibri" w:hAnsi="Calibri" w:cs="Calibri"/>
                <w:b/>
                <w:bCs/>
                <w:sz w:val="16"/>
                <w:szCs w:val="16"/>
              </w:rPr>
              <w:lastRenderedPageBreak/>
              <w:t>✔ Yes</w:t>
            </w:r>
          </w:p>
        </w:tc>
        <w:tc>
          <w:tcPr>
            <w:tcW w:w="3900" w:type="dxa"/>
            <w:shd w:val="clear" w:color="auto" w:fill="FFFFFF"/>
            <w:tcMar>
              <w:top w:w="80" w:type="dxa"/>
              <w:left w:w="80" w:type="dxa"/>
              <w:bottom w:w="80" w:type="dxa"/>
              <w:right w:w="80" w:type="dxa"/>
            </w:tcMar>
          </w:tcPr>
          <w:p w14:paraId="6EFB3462" w14:textId="77777777" w:rsidR="00365A9D" w:rsidRDefault="00000000">
            <w:r>
              <w:rPr>
                <w:rFonts w:ascii="Calibri" w:eastAsia="Calibri" w:hAnsi="Calibri" w:cs="Calibri"/>
                <w:sz w:val="16"/>
                <w:szCs w:val="16"/>
              </w:rPr>
              <w:t xml:space="preserve">The dashboard confirms that spend exceeds attributed revenue for all 6 campaigns. NovaEdge Awareness has the smallest absolute deficit, even though the separate </w:t>
            </w:r>
            <w:r>
              <w:rPr>
                <w:rFonts w:ascii="Calibri" w:eastAsia="Calibri" w:hAnsi="Calibri" w:cs="Calibri"/>
                <w:sz w:val="16"/>
                <w:szCs w:val="16"/>
              </w:rPr>
              <w:lastRenderedPageBreak/>
              <w:t>ROI chart shows it has the worst percentage ROI; those are different measures and are not contradictory.</w:t>
            </w:r>
          </w:p>
        </w:tc>
      </w:tr>
    </w:tbl>
    <w:p w14:paraId="702B2D2D" w14:textId="77777777" w:rsidR="005015CD" w:rsidRDefault="005015CD"/>
    <w:sectPr w:rsidR="005015CD">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A53E5"/>
    <w:multiLevelType w:val="hybridMultilevel"/>
    <w:tmpl w:val="62B6749C"/>
    <w:lvl w:ilvl="0" w:tplc="1444DAB0">
      <w:start w:val="1"/>
      <w:numFmt w:val="bullet"/>
      <w:lvlText w:val="●"/>
      <w:lvlJc w:val="left"/>
      <w:pPr>
        <w:ind w:left="720" w:hanging="360"/>
      </w:pPr>
    </w:lvl>
    <w:lvl w:ilvl="1" w:tplc="323C9EFE">
      <w:start w:val="1"/>
      <w:numFmt w:val="bullet"/>
      <w:lvlText w:val="○"/>
      <w:lvlJc w:val="left"/>
      <w:pPr>
        <w:ind w:left="1440" w:hanging="360"/>
      </w:pPr>
    </w:lvl>
    <w:lvl w:ilvl="2" w:tplc="24C055D0">
      <w:start w:val="1"/>
      <w:numFmt w:val="bullet"/>
      <w:lvlText w:val="■"/>
      <w:lvlJc w:val="left"/>
      <w:pPr>
        <w:ind w:left="2160" w:hanging="360"/>
      </w:pPr>
    </w:lvl>
    <w:lvl w:ilvl="3" w:tplc="6B2E530E">
      <w:start w:val="1"/>
      <w:numFmt w:val="bullet"/>
      <w:lvlText w:val="●"/>
      <w:lvlJc w:val="left"/>
      <w:pPr>
        <w:ind w:left="2880" w:hanging="360"/>
      </w:pPr>
    </w:lvl>
    <w:lvl w:ilvl="4" w:tplc="C07CF650">
      <w:start w:val="1"/>
      <w:numFmt w:val="bullet"/>
      <w:lvlText w:val="○"/>
      <w:lvlJc w:val="left"/>
      <w:pPr>
        <w:ind w:left="3600" w:hanging="360"/>
      </w:pPr>
    </w:lvl>
    <w:lvl w:ilvl="5" w:tplc="E670FD4E">
      <w:start w:val="1"/>
      <w:numFmt w:val="bullet"/>
      <w:lvlText w:val="■"/>
      <w:lvlJc w:val="left"/>
      <w:pPr>
        <w:ind w:left="4320" w:hanging="360"/>
      </w:pPr>
    </w:lvl>
    <w:lvl w:ilvl="6" w:tplc="533803BC">
      <w:start w:val="1"/>
      <w:numFmt w:val="bullet"/>
      <w:lvlText w:val="●"/>
      <w:lvlJc w:val="left"/>
      <w:pPr>
        <w:ind w:left="5040" w:hanging="360"/>
      </w:pPr>
    </w:lvl>
    <w:lvl w:ilvl="7" w:tplc="A2460A0A">
      <w:start w:val="1"/>
      <w:numFmt w:val="bullet"/>
      <w:lvlText w:val="●"/>
      <w:lvlJc w:val="left"/>
      <w:pPr>
        <w:ind w:left="5760" w:hanging="360"/>
      </w:pPr>
    </w:lvl>
    <w:lvl w:ilvl="8" w:tplc="A6B4EFB4">
      <w:start w:val="1"/>
      <w:numFmt w:val="bullet"/>
      <w:lvlText w:val="●"/>
      <w:lvlJc w:val="left"/>
      <w:pPr>
        <w:ind w:left="6480" w:hanging="360"/>
      </w:pPr>
    </w:lvl>
  </w:abstractNum>
  <w:num w:numId="1" w16cid:durableId="623973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A9D"/>
    <w:rsid w:val="00205BF7"/>
    <w:rsid w:val="002D4A66"/>
    <w:rsid w:val="00365A9D"/>
    <w:rsid w:val="00435102"/>
    <w:rsid w:val="005015CD"/>
    <w:rsid w:val="007429F2"/>
    <w:rsid w:val="00756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3AF5"/>
  <w15:docId w15:val="{56B01DFD-70E3-4D08-B8C8-B7A8EB6D4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744</Words>
  <Characters>4243</Characters>
  <Application>Microsoft Office Word</Application>
  <DocSecurity>0</DocSecurity>
  <Lines>35</Lines>
  <Paragraphs>9</Paragraphs>
  <ScaleCrop>false</ScaleCrop>
  <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Ecem Bökenheide</cp:lastModifiedBy>
  <cp:revision>3</cp:revision>
  <dcterms:created xsi:type="dcterms:W3CDTF">2026-09-13T17:41:00Z</dcterms:created>
  <dcterms:modified xsi:type="dcterms:W3CDTF">2026-09-13T19:42:00Z</dcterms:modified>
</cp:coreProperties>
</file>