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NovaTech Revenue Intelligence: Quick Chat Q&amp;A Log</w:t>
      </w:r>
    </w:p>
    <w:p>
      <w:pPr>
        <w:spacing w:after="100"/>
      </w:pPr>
      <w:r>
        <w:rPr>
          <w:i/>
          <w:iCs/>
          <w:color w:val="555555"/>
          <w:sz w:val="20"/>
          <w:szCs w:val="20"/>
        </w:rPr>
        <w:t xml:space="preserve">Each question is labeled BEFORE. Where an after-fix answer has also been captured, it is stacked directly underneath. New questions asked only in the after (Topic-fixed) state appear at the end.</w:t>
      </w:r>
    </w:p>
    <w:p>
      <w:pPr>
        <w:pBdr>
          <w:top w:val="single" w:color="AAAAAA" w:sz="6" w:space="8"/>
        </w:pBdr>
        <w:spacing w:after="150" w:before="500"/>
      </w:pPr>
      <w:r>
        <w:rPr>
          <w:b/>
          <w:bCs/>
          <w:sz w:val="24"/>
          <w:szCs w:val="24"/>
        </w:rPr>
        <w:t xml:space="preserve">Q: </w:t>
      </w:r>
      <w:r>
        <w:rPr>
          <w:i/>
          <w:iCs/>
          <w:sz w:val="24"/>
          <w:szCs w:val="24"/>
        </w:rPr>
        <w:t xml:space="preserve">Which campaign channel drives the most revenue?</w:t>
      </w:r>
    </w:p>
    <w:p>
      <w:pPr>
        <w:spacing w:after="100"/>
        <w:jc w:val="center"/>
      </w:pPr>
      <w:r>
        <w:rPr>
          <w:b/>
          <w:bCs/>
          <w:color w:val="B0392B"/>
          <w:sz w:val="22"/>
          <w:szCs w:val="22"/>
        </w:rPr>
        <w:t xml:space="preserve">BEFORE</w:t>
      </w:r>
    </w:p>
    <w:p>
      <w:pPr>
        <w:spacing w:after="200"/>
        <w:jc w:val="center"/>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524000"/>
                    </a:xfrm>
                    <a:prstGeom prst="rect">
                      <a:avLst/>
                    </a:prstGeom>
                  </pic:spPr>
                </pic:pic>
              </a:graphicData>
            </a:graphic>
          </wp:inline>
        </w:drawing>
      </w:r>
    </w:p>
    <w:p>
      <w:pPr>
        <w:spacing w:after="100"/>
        <w:jc w:val="center"/>
      </w:pPr>
      <w:r>
        <w:rPr>
          <w:b/>
          <w:bCs/>
          <w:color w:val="1F7A46"/>
          <w:sz w:val="22"/>
          <w:szCs w:val="22"/>
        </w:rPr>
        <w:t xml:space="preserve">AFTER</w:t>
      </w:r>
    </w:p>
    <w:p>
      <w:pPr>
        <w:spacing w:after="200"/>
        <w:jc w:val="center"/>
      </w:pPr>
      <w:r>
        <w:drawing>
          <wp:inline distT="0" distB="0" distL="0" distR="0">
            <wp:extent cx="4000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76475"/>
                    </a:xfrm>
                    <a:prstGeom prst="rect">
                      <a:avLst/>
                    </a:prstGeom>
                  </pic:spPr>
                </pic:pic>
              </a:graphicData>
            </a:graphic>
          </wp:inline>
        </w:drawing>
      </w:r>
    </w:p>
    <w:p>
      <w:pPr>
        <w:pBdr>
          <w:top w:val="single" w:color="AAAAAA" w:sz="6" w:space="8"/>
        </w:pBdr>
        <w:spacing w:after="150" w:before="500"/>
      </w:pPr>
      <w:r>
        <w:rPr>
          <w:b/>
          <w:bCs/>
          <w:sz w:val="24"/>
          <w:szCs w:val="24"/>
        </w:rPr>
        <w:t xml:space="preserve">Q: </w:t>
      </w:r>
      <w:r>
        <w:rPr>
          <w:i/>
          <w:iCs/>
          <w:sz w:val="24"/>
          <w:szCs w:val="24"/>
        </w:rPr>
        <w:t xml:space="preserve">Which campaign channel has the highest average response rate?</w:t>
      </w:r>
    </w:p>
    <w:p>
      <w:pPr>
        <w:spacing w:after="100"/>
        <w:jc w:val="center"/>
      </w:pPr>
      <w:r>
        <w:rPr>
          <w:b/>
          <w:bCs/>
          <w:color w:val="B0392B"/>
          <w:sz w:val="22"/>
          <w:szCs w:val="22"/>
        </w:rPr>
        <w:t xml:space="preserve">BEFORE</w:t>
      </w:r>
    </w:p>
    <w:p>
      <w:pPr>
        <w:spacing w:after="200"/>
        <w:jc w:val="center"/>
      </w:pPr>
      <w:r>
        <w:drawing>
          <wp:inline distT="0" distB="0" distL="0" distR="0">
            <wp:extent cx="4953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600200"/>
                    </a:xfrm>
                    <a:prstGeom prst="rect">
                      <a:avLst/>
                    </a:prstGeom>
                  </pic:spPr>
                </pic:pic>
              </a:graphicData>
            </a:graphic>
          </wp:inline>
        </w:drawing>
      </w:r>
    </w:p>
    <w:p>
      <w:pPr>
        <w:spacing w:after="100"/>
        <w:jc w:val="center"/>
      </w:pPr>
      <w:r>
        <w:rPr>
          <w:b/>
          <w:bCs/>
          <w:color w:val="1F7A46"/>
          <w:sz w:val="22"/>
          <w:szCs w:val="22"/>
        </w:rPr>
        <w:t xml:space="preserve">AFTER</w:t>
      </w:r>
    </w:p>
    <w:p>
      <w:pPr>
        <w:spacing w:after="200"/>
        <w:jc w:val="center"/>
      </w:pPr>
      <w:r>
        <w:drawing>
          <wp:inline distT="0" distB="0" distL="0" distR="0">
            <wp:extent cx="4000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57425"/>
                    </a:xfrm>
                    <a:prstGeom prst="rect">
                      <a:avLst/>
                    </a:prstGeom>
                  </pic:spPr>
                </pic:pic>
              </a:graphicData>
            </a:graphic>
          </wp:inline>
        </w:drawing>
      </w:r>
    </w:p>
    <w:p>
      <w:pPr>
        <w:pBdr>
          <w:top w:val="single" w:color="AAAAAA" w:sz="6" w:space="8"/>
        </w:pBdr>
        <w:spacing w:after="150" w:before="500"/>
      </w:pPr>
      <w:r>
        <w:rPr>
          <w:b/>
          <w:bCs/>
          <w:sz w:val="24"/>
          <w:szCs w:val="24"/>
        </w:rPr>
        <w:t xml:space="preserve">Q: </w:t>
      </w:r>
      <w:r>
        <w:rPr>
          <w:i/>
          <w:iCs/>
          <w:sz w:val="24"/>
          <w:szCs w:val="24"/>
        </w:rPr>
        <w:t xml:space="preserve">What is the win rate in the Sales Pipeline sheet?</w:t>
      </w:r>
    </w:p>
    <w:p>
      <w:pPr>
        <w:spacing w:after="100"/>
        <w:jc w:val="center"/>
      </w:pPr>
      <w:r>
        <w:rPr>
          <w:b/>
          <w:bCs/>
          <w:color w:val="B0392B"/>
          <w:sz w:val="22"/>
          <w:szCs w:val="22"/>
        </w:rPr>
        <w:t xml:space="preserve">BEFORE</w:t>
      </w:r>
    </w:p>
    <w:p>
      <w:pPr>
        <w:spacing w:after="200"/>
        <w:jc w:val="center"/>
      </w:pPr>
      <w:r>
        <w:drawing>
          <wp:inline distT="0" distB="0" distL="0" distR="0">
            <wp:extent cx="4953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543050"/>
                    </a:xfrm>
                    <a:prstGeom prst="rect">
                      <a:avLst/>
                    </a:prstGeom>
                  </pic:spPr>
                </pic:pic>
              </a:graphicData>
            </a:graphic>
          </wp:inline>
        </w:drawing>
      </w:r>
    </w:p>
    <w:p>
      <w:pPr>
        <w:spacing w:after="100"/>
        <w:jc w:val="center"/>
      </w:pPr>
      <w:r>
        <w:rPr>
          <w:b/>
          <w:bCs/>
          <w:color w:val="1F7A46"/>
          <w:sz w:val="22"/>
          <w:szCs w:val="22"/>
        </w:rPr>
        <w:t xml:space="preserve">AFTER</w:t>
      </w:r>
    </w:p>
    <w:p>
      <w:pPr>
        <w:spacing w:after="200"/>
        <w:jc w:val="center"/>
      </w:pPr>
      <w:r>
        <w:drawing>
          <wp:inline distT="0" distB="0" distL="0" distR="0">
            <wp:extent cx="4953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28850"/>
                    </a:xfrm>
                    <a:prstGeom prst="rect">
                      <a:avLst/>
                    </a:prstGeom>
                  </pic:spPr>
                </pic:pic>
              </a:graphicData>
            </a:graphic>
          </wp:inline>
        </w:drawing>
      </w:r>
    </w:p>
    <w:p>
      <w:pPr>
        <w:pBdr>
          <w:top w:val="single" w:color="AAAAAA" w:sz="6" w:space="8"/>
        </w:pBdr>
        <w:spacing w:after="150" w:before="500"/>
      </w:pPr>
      <w:r>
        <w:rPr>
          <w:b/>
          <w:bCs/>
          <w:sz w:val="24"/>
          <w:szCs w:val="24"/>
        </w:rPr>
        <w:t xml:space="preserve">Q: </w:t>
      </w:r>
      <w:r>
        <w:rPr>
          <w:i/>
          <w:iCs/>
          <w:sz w:val="24"/>
          <w:szCs w:val="24"/>
        </w:rPr>
        <w:t xml:space="preserve">What is the average deal size by company size tier?</w:t>
      </w:r>
    </w:p>
    <w:p>
      <w:pPr>
        <w:spacing w:after="100"/>
        <w:jc w:val="center"/>
      </w:pPr>
      <w:r>
        <w:rPr>
          <w:b/>
          <w:bCs/>
          <w:color w:val="B0392B"/>
          <w:sz w:val="22"/>
          <w:szCs w:val="22"/>
        </w:rPr>
        <w:t xml:space="preserve">BEFORE</w:t>
      </w:r>
    </w:p>
    <w:p>
      <w:pPr>
        <w:spacing w:after="200"/>
        <w:jc w:val="center"/>
      </w:pPr>
      <w:r>
        <w:drawing>
          <wp:inline distT="0" distB="0" distL="0" distR="0">
            <wp:extent cx="4953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657350"/>
                    </a:xfrm>
                    <a:prstGeom prst="rect">
                      <a:avLst/>
                    </a:prstGeom>
                  </pic:spPr>
                </pic:pic>
              </a:graphicData>
            </a:graphic>
          </wp:inline>
        </w:drawing>
      </w:r>
    </w:p>
    <w:p>
      <w:pPr>
        <w:pBdr>
          <w:top w:val="single" w:color="AAAAAA" w:sz="6" w:space="8"/>
        </w:pBdr>
        <w:spacing w:after="150" w:before="500"/>
      </w:pPr>
      <w:r>
        <w:rPr>
          <w:b/>
          <w:bCs/>
          <w:sz w:val="24"/>
          <w:szCs w:val="24"/>
        </w:rPr>
        <w:t xml:space="preserve">Q: </w:t>
      </w:r>
      <w:r>
        <w:rPr>
          <w:i/>
          <w:iCs/>
          <w:sz w:val="24"/>
          <w:szCs w:val="24"/>
        </w:rPr>
        <w:t xml:space="preserve">Which product area receives the most support tickets, and what is the average resolution time for critical priority tickets?</w:t>
      </w:r>
    </w:p>
    <w:p>
      <w:pPr>
        <w:spacing w:after="100"/>
        <w:jc w:val="center"/>
      </w:pPr>
      <w:r>
        <w:rPr>
          <w:b/>
          <w:bCs/>
          <w:color w:val="B0392B"/>
          <w:sz w:val="22"/>
          <w:szCs w:val="22"/>
        </w:rPr>
        <w:t xml:space="preserve">BEFORE</w:t>
      </w:r>
    </w:p>
    <w:p>
      <w:pPr>
        <w:spacing w:after="200"/>
        <w:jc w:val="center"/>
      </w:pPr>
      <w:r>
        <w:drawing>
          <wp:inline distT="0" distB="0" distL="0" distR="0">
            <wp:extent cx="4953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504950"/>
                    </a:xfrm>
                    <a:prstGeom prst="rect">
                      <a:avLst/>
                    </a:prstGeom>
                  </pic:spPr>
                </pic:pic>
              </a:graphicData>
            </a:graphic>
          </wp:inline>
        </w:drawing>
      </w:r>
    </w:p>
    <w:p>
      <w:pPr>
        <w:spacing w:after="200"/>
        <w:jc w:val="center"/>
      </w:pPr>
      <w:r>
        <w:drawing>
          <wp:inline distT="0" distB="0" distL="0" distR="0">
            <wp:extent cx="4953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209675"/>
                    </a:xfrm>
                    <a:prstGeom prst="rect">
                      <a:avLst/>
                    </a:prstGeom>
                  </pic:spPr>
                </pic:pic>
              </a:graphicData>
            </a:graphic>
          </wp:inline>
        </w:drawing>
      </w:r>
    </w:p>
    <w:p>
      <w:pPr>
        <w:spacing w:after="100"/>
        <w:jc w:val="center"/>
      </w:pPr>
      <w:r>
        <w:rPr>
          <w:b/>
          <w:bCs/>
          <w:color w:val="1F7A46"/>
          <w:sz w:val="22"/>
          <w:szCs w:val="22"/>
        </w:rPr>
        <w:t xml:space="preserve">AFTER</w:t>
      </w:r>
    </w:p>
    <w:p>
      <w:pPr>
        <w:spacing w:after="200"/>
        <w:jc w:val="center"/>
      </w:pPr>
      <w:r>
        <w:drawing>
          <wp:inline distT="0" distB="0" distL="0" distR="0">
            <wp:extent cx="4953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924175"/>
                    </a:xfrm>
                    <a:prstGeom prst="rect">
                      <a:avLst/>
                    </a:prstGeom>
                  </pic:spPr>
                </pic:pic>
              </a:graphicData>
            </a:graphic>
          </wp:inline>
        </w:drawing>
      </w:r>
    </w:p>
    <w:p>
      <w:pPr>
        <w:spacing w:after="200"/>
        <w:jc w:val="center"/>
      </w:pPr>
      <w:r>
        <w:drawing>
          <wp:inline distT="0" distB="0" distL="0" distR="0">
            <wp:extent cx="4953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86050"/>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E0B94A" w:sz="4"/>
              <w:left w:val="single" w:color="E0B94A" w:sz="4"/>
              <w:bottom w:val="single" w:color="E0B94A" w:sz="4"/>
              <w:right w:val="single" w:color="E0B94A" w:sz="4"/>
            </w:tcBorders>
            <w:shd w:fill="FFF6DA" w:val="clear"/>
            <w:tcMar>
              <w:top w:type="dxa" w:w="150"/>
              <w:left w:type="dxa" w:w="200"/>
              <w:bottom w:type="dxa" w:w="150"/>
              <w:right w:type="dxa" w:w="200"/>
            </w:tcMar>
          </w:tcPr>
          <w:p>
            <w:pPr>
              <w:spacing w:after="60"/>
            </w:pPr>
            <w:r>
              <w:rPr>
                <w:b/>
                <w:bCs/>
                <w:color w:val="7A5B00"/>
                <w:sz w:val="18"/>
                <w:szCs w:val="18"/>
              </w:rPr>
              <w:t xml:space="preserve">Note: </w:t>
            </w:r>
            <w:r>
              <w:rPr>
                <w:i/>
                <w:iCs/>
                <w:color w:val="555555"/>
                <w:sz w:val="18"/>
                <w:szCs w:val="18"/>
              </w:rPr>
              <w:t xml:space="preserve">the before answer reported 43.0 hrs average resolution for critical tickets (based on a 50-ticket subset); the after answer reports 56.12 hrs as part of a full priority breakdown, consistent with a separate "average resolution time" query (56.13 hrs). Minor inconsistency, likely due to different underlying filters/sample sizes used by Quick Chat between runs.</w:t>
            </w:r>
          </w:p>
        </w:tc>
      </w:tr>
    </w:tbl>
    <w:p>
      <w:pPr>
        <w:pBdr>
          <w:top w:val="single" w:color="AAAAAA" w:sz="6" w:space="8"/>
        </w:pBdr>
        <w:spacing w:after="150" w:before="500"/>
      </w:pPr>
      <w:r>
        <w:rPr>
          <w:b/>
          <w:bCs/>
          <w:sz w:val="24"/>
          <w:szCs w:val="24"/>
        </w:rPr>
        <w:t xml:space="preserve">Q: </w:t>
      </w:r>
      <w:r>
        <w:rPr>
          <w:i/>
          <w:iCs/>
          <w:sz w:val="24"/>
          <w:szCs w:val="24"/>
        </w:rPr>
        <w:t xml:space="preserve">Which accounts have both high support ticket volume and high total deal value at risk? (cross-dataset)</w:t>
      </w:r>
    </w:p>
    <w:p>
      <w:pPr>
        <w:spacing w:after="100"/>
        <w:jc w:val="center"/>
      </w:pPr>
      <w:r>
        <w:rPr>
          <w:b/>
          <w:bCs/>
          <w:color w:val="B0392B"/>
          <w:sz w:val="22"/>
          <w:szCs w:val="22"/>
        </w:rPr>
        <w:t xml:space="preserve">BEFORE</w:t>
      </w:r>
    </w:p>
    <w:p>
      <w:pPr>
        <w:spacing w:after="200"/>
        <w:jc w:val="center"/>
      </w:pPr>
      <w:r>
        <w:drawing>
          <wp:inline distT="0" distB="0" distL="0" distR="0">
            <wp:extent cx="4953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657350"/>
                    </a:xfrm>
                    <a:prstGeom prst="rect">
                      <a:avLst/>
                    </a:prstGeom>
                  </pic:spPr>
                </pic:pic>
              </a:graphicData>
            </a:graphic>
          </wp:inline>
        </w:drawing>
      </w:r>
    </w:p>
    <w:p>
      <w:pPr>
        <w:spacing w:after="200"/>
        <w:jc w:val="center"/>
      </w:pPr>
      <w:r>
        <w:drawing>
          <wp:inline distT="0" distB="0" distL="0" distR="0">
            <wp:extent cx="4953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543050"/>
                    </a:xfrm>
                    <a:prstGeom prst="rect">
                      <a:avLst/>
                    </a:prstGeom>
                  </pic:spPr>
                </pic:pic>
              </a:graphicData>
            </a:graphic>
          </wp:inline>
        </w:drawing>
      </w:r>
    </w:p>
    <w:p>
      <w:pPr>
        <w:spacing w:after="100"/>
        <w:jc w:val="center"/>
      </w:pPr>
      <w:r>
        <w:rPr>
          <w:b/>
          <w:bCs/>
          <w:color w:val="1F7A46"/>
          <w:sz w:val="22"/>
          <w:szCs w:val="22"/>
        </w:rPr>
        <w:t xml:space="preserve">AFTER</w:t>
      </w:r>
    </w:p>
    <w:p>
      <w:pPr>
        <w:spacing w:after="20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52725"/>
                    </a:xfrm>
                    <a:prstGeom prst="rect">
                      <a:avLst/>
                    </a:prstGeom>
                  </pic:spPr>
                </pic:pic>
              </a:graphicData>
            </a:graphic>
          </wp:inline>
        </w:drawing>
      </w:r>
    </w:p>
    <w:p>
      <w:pPr>
        <w:spacing w:after="200"/>
        <w:jc w:val="center"/>
      </w:pPr>
      <w:r>
        <w:drawing>
          <wp:inline distT="0" distB="0" distL="0" distR="0">
            <wp:extent cx="4953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09825"/>
                    </a:xfrm>
                    <a:prstGeom prst="rect">
                      <a:avLst/>
                    </a:prstGeom>
                  </pic:spPr>
                </pic:pic>
              </a:graphicData>
            </a:graphic>
          </wp:inline>
        </w:drawing>
      </w:r>
    </w:p>
    <w:p>
      <w:pPr>
        <w:pBdr>
          <w:top w:val="single" w:color="AAAAAA" w:sz="6" w:space="8"/>
        </w:pBdr>
        <w:spacing w:after="150" w:before="500"/>
      </w:pPr>
      <w:r>
        <w:rPr>
          <w:b/>
          <w:bCs/>
          <w:sz w:val="24"/>
          <w:szCs w:val="24"/>
        </w:rPr>
        <w:t xml:space="preserve">Q: </w:t>
      </w:r>
      <w:r>
        <w:rPr>
          <w:i/>
          <w:iCs/>
          <w:sz w:val="24"/>
          <w:szCs w:val="24"/>
        </w:rPr>
        <w:t xml:space="preserve">Which campaign has the worst ROI, and what is the average campaign ROI overall?</w:t>
      </w:r>
    </w:p>
    <w:p>
      <w:pPr>
        <w:spacing w:after="100"/>
        <w:jc w:val="center"/>
      </w:pPr>
      <w:r>
        <w:rPr>
          <w:b/>
          <w:bCs/>
          <w:color w:val="B0392B"/>
          <w:sz w:val="22"/>
          <w:szCs w:val="22"/>
        </w:rPr>
        <w:t xml:space="preserve">BEFORE</w:t>
      </w:r>
    </w:p>
    <w:p>
      <w:pPr>
        <w:spacing w:after="200"/>
        <w:jc w:val="center"/>
      </w:pPr>
      <w:r>
        <w:drawing>
          <wp:inline distT="0" distB="0" distL="0" distR="0">
            <wp:extent cx="4953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562100"/>
                    </a:xfrm>
                    <a:prstGeom prst="rect">
                      <a:avLst/>
                    </a:prstGeom>
                  </pic:spPr>
                </pic:pic>
              </a:graphicData>
            </a:graphic>
          </wp:inline>
        </w:drawing>
      </w:r>
    </w:p>
    <w:p>
      <w:pPr>
        <w:spacing w:after="200"/>
        <w:jc w:val="center"/>
      </w:pPr>
      <w:r>
        <w:drawing>
          <wp:inline distT="0" distB="0" distL="0" distR="0">
            <wp:extent cx="4953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924050"/>
                    </a:xfrm>
                    <a:prstGeom prst="rect">
                      <a:avLst/>
                    </a:prstGeom>
                  </pic:spPr>
                </pic:pic>
              </a:graphicData>
            </a:graphic>
          </wp:inline>
        </w:drawing>
      </w:r>
    </w:p>
    <w:p>
      <w:pPr>
        <w:spacing w:after="100"/>
        <w:jc w:val="center"/>
      </w:pPr>
      <w:r>
        <w:rPr>
          <w:b/>
          <w:bCs/>
          <w:color w:val="1F7A46"/>
          <w:sz w:val="22"/>
          <w:szCs w:val="22"/>
        </w:rPr>
        <w:t xml:space="preserve">AFTER</w:t>
      </w:r>
    </w:p>
    <w:p>
      <w:pPr>
        <w:spacing w:after="200"/>
        <w:jc w:val="center"/>
      </w:pPr>
      <w:r>
        <w:drawing>
          <wp:inline distT="0" distB="0" distL="0" distR="0">
            <wp:extent cx="4953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943225"/>
                    </a:xfrm>
                    <a:prstGeom prst="rect">
                      <a:avLst/>
                    </a:prstGeom>
                  </pic:spPr>
                </pic:pic>
              </a:graphicData>
            </a:graphic>
          </wp:inline>
        </w:drawing>
      </w:r>
    </w:p>
    <w:p>
      <w:pPr>
        <w:spacing w:after="200"/>
        <w:jc w:val="center"/>
      </w:pPr>
      <w:r>
        <w:drawing>
          <wp:inline distT="0" distB="0" distL="0" distR="0">
            <wp:extent cx="495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552700"/>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E0B94A" w:sz="4"/>
              <w:left w:val="single" w:color="E0B94A" w:sz="4"/>
              <w:bottom w:val="single" w:color="E0B94A" w:sz="4"/>
              <w:right w:val="single" w:color="E0B94A" w:sz="4"/>
            </w:tcBorders>
            <w:shd w:fill="FFF6DA" w:val="clear"/>
            <w:tcMar>
              <w:top w:type="dxa" w:w="150"/>
              <w:left w:type="dxa" w:w="200"/>
              <w:bottom w:type="dxa" w:w="150"/>
              <w:right w:type="dxa" w:w="200"/>
            </w:tcMar>
          </w:tcPr>
          <w:p>
            <w:pPr>
              <w:spacing w:after="60"/>
            </w:pPr>
            <w:r>
              <w:rPr>
                <w:b/>
                <w:bCs/>
                <w:color w:val="7A5B00"/>
                <w:sz w:val="18"/>
                <w:szCs w:val="18"/>
              </w:rPr>
              <w:t xml:space="preserve">Note – verified root cause (after is correct): </w:t>
            </w:r>
            <w:r>
              <w:rPr>
                <w:i/>
                <w:iCs/>
                <w:color w:val="555555"/>
                <w:sz w:val="18"/>
                <w:szCs w:val="18"/>
              </w:rPr>
              <w:t xml:space="preserve">the before answer computed ROI per campaign–channel pairing by summing campaign_spend across all lead-level rows, yielding an inflated, all-negative result (average −94%). A follow-up query of the underlying Marketing Funnel dataset confirmed that campaign_spend is a campaign-level value that is duplicated ("fanned out") across every lead row of that campaign, so SUMing it multiplies the true spend by the number of leads. The dashboard's own spend visual is explicitly labeled “Avg Campaign Spend vs Total Revenue by Campaign – spend fan-out corrected,” meaning the AVERAGE recovers the true single per-campaign spend figure, while revenue_attributed is a genuine per-lead value that sums correctly across channels (channel sums for NovaPulse Launch total exactly $394,156.59, matching the campaign total). This confirms the after answer's methodology (average spend per campaign) is the correct one, giving an all-positive result (average +3,254.9%; worst NovaEdge Awareness at 516.2%, best NovaPulse Launch at 6,552.8%). The before answer's negative ROI figures were an artifact of double-counting spend and should be treated as incorrect, not as a real before/after change.</w:t>
            </w:r>
          </w:p>
        </w:tc>
      </w:tr>
    </w:tbl>
    <w:p>
      <w:pPr>
        <w:pBdr>
          <w:top w:val="single" w:color="555555" w:sz="12" w:space="10"/>
        </w:pBdr>
        <w:spacing w:after="150" w:before="600"/>
      </w:pPr>
      <w:r>
        <w:rPr>
          <w:b/>
          <w:bCs/>
          <w:sz w:val="28"/>
          <w:szCs w:val="28"/>
        </w:rPr>
        <w:t xml:space="preserve">New Questions (After / Topic-Fixed State Only)</w:t>
      </w:r>
    </w:p>
    <w:p>
      <w:pPr>
        <w:pBdr>
          <w:top w:val="single" w:color="AAAAAA" w:sz="6" w:space="8"/>
        </w:pBdr>
        <w:spacing w:after="150" w:before="500"/>
      </w:pPr>
      <w:r>
        <w:rPr>
          <w:b/>
          <w:bCs/>
          <w:sz w:val="24"/>
          <w:szCs w:val="24"/>
        </w:rPr>
        <w:t xml:space="preserve">Q: </w:t>
      </w:r>
      <w:r>
        <w:rPr>
          <w:i/>
          <w:iCs/>
          <w:sz w:val="24"/>
          <w:szCs w:val="24"/>
        </w:rPr>
        <w:t xml:space="preserve">What is the conversion rate by campaign channel?</w:t>
      </w:r>
    </w:p>
    <w:p>
      <w:pPr>
        <w:spacing w:after="100"/>
        <w:jc w:val="center"/>
      </w:pPr>
      <w:r>
        <w:rPr>
          <w:b/>
          <w:bCs/>
          <w:color w:val="1F7A46"/>
          <w:sz w:val="22"/>
          <w:szCs w:val="22"/>
        </w:rPr>
        <w:t xml:space="preserve">AFTER</w:t>
      </w:r>
    </w:p>
    <w:p>
      <w:pPr>
        <w:spacing w:after="200"/>
        <w:jc w:val="center"/>
      </w:pPr>
      <w:r>
        <w:drawing>
          <wp:inline distT="0" distB="0" distL="0" distR="0">
            <wp:extent cx="4953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400425"/>
                    </a:xfrm>
                    <a:prstGeom prst="rect">
                      <a:avLst/>
                    </a:prstGeom>
                  </pic:spPr>
                </pic:pic>
              </a:graphicData>
            </a:graphic>
          </wp:inline>
        </w:drawing>
      </w:r>
    </w:p>
    <w:p>
      <w:pPr>
        <w:spacing w:after="200"/>
        <w:jc w:val="center"/>
      </w:pPr>
      <w:r>
        <w:drawing>
          <wp:inline distT="0" distB="0" distL="0" distR="0">
            <wp:extent cx="4953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933700"/>
                    </a:xfrm>
                    <a:prstGeom prst="rect">
                      <a:avLst/>
                    </a:prstGeom>
                  </pic:spPr>
                </pic:pic>
              </a:graphicData>
            </a:graphic>
          </wp:inline>
        </w:drawing>
      </w:r>
    </w:p>
    <w:p>
      <w:pPr>
        <w:pBdr>
          <w:top w:val="single" w:color="AAAAAA" w:sz="6" w:space="8"/>
        </w:pBdr>
        <w:spacing w:after="150" w:before="500"/>
      </w:pPr>
      <w:r>
        <w:rPr>
          <w:b/>
          <w:bCs/>
          <w:sz w:val="24"/>
          <w:szCs w:val="24"/>
        </w:rPr>
        <w:t xml:space="preserve">Q: </w:t>
      </w:r>
      <w:r>
        <w:rPr>
          <w:i/>
          <w:iCs/>
          <w:sz w:val="24"/>
          <w:szCs w:val="24"/>
        </w:rPr>
        <w:t xml:space="preserve">What is the total pipeline value by deal stage?</w:t>
      </w:r>
    </w:p>
    <w:p>
      <w:pPr>
        <w:spacing w:after="100"/>
        <w:jc w:val="center"/>
      </w:pPr>
      <w:r>
        <w:rPr>
          <w:b/>
          <w:bCs/>
          <w:color w:val="1F7A46"/>
          <w:sz w:val="22"/>
          <w:szCs w:val="22"/>
        </w:rPr>
        <w:t xml:space="preserve">AFTER</w:t>
      </w:r>
    </w:p>
    <w:p>
      <w:pPr>
        <w:spacing w:after="200"/>
        <w:jc w:val="center"/>
      </w:pPr>
      <w:r>
        <w:drawing>
          <wp:inline distT="0" distB="0" distL="0" distR="0">
            <wp:extent cx="4953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457575"/>
                    </a:xfrm>
                    <a:prstGeom prst="rect">
                      <a:avLst/>
                    </a:prstGeom>
                  </pic:spPr>
                </pic:pic>
              </a:graphicData>
            </a:graphic>
          </wp:inline>
        </w:drawing>
      </w:r>
    </w:p>
    <w:p>
      <w:pPr>
        <w:pBdr>
          <w:top w:val="single" w:color="AAAAAA" w:sz="6" w:space="8"/>
        </w:pBdr>
        <w:spacing w:after="150" w:before="500"/>
      </w:pPr>
      <w:r>
        <w:rPr>
          <w:b/>
          <w:bCs/>
          <w:sz w:val="24"/>
          <w:szCs w:val="24"/>
        </w:rPr>
        <w:t xml:space="preserve">Q: </w:t>
      </w:r>
      <w:r>
        <w:rPr>
          <w:i/>
          <w:iCs/>
          <w:sz w:val="24"/>
          <w:szCs w:val="24"/>
        </w:rPr>
        <w:t xml:space="preserve">What is the negative sentiment rate by account, and which accounts have the highest negative sentiment rate?</w:t>
      </w:r>
    </w:p>
    <w:p>
      <w:pPr>
        <w:spacing w:after="100"/>
        <w:jc w:val="center"/>
      </w:pPr>
      <w:r>
        <w:rPr>
          <w:b/>
          <w:bCs/>
          <w:color w:val="1F7A46"/>
          <w:sz w:val="22"/>
          <w:szCs w:val="22"/>
        </w:rPr>
        <w:t xml:space="preserve">AFTER</w:t>
      </w:r>
    </w:p>
    <w:p>
      <w:pPr>
        <w:spacing w:after="200"/>
        <w:jc w:val="center"/>
      </w:pPr>
      <w:r>
        <w:drawing>
          <wp:inline distT="0" distB="0" distL="0" distR="0">
            <wp:extent cx="4953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886075"/>
                    </a:xfrm>
                    <a:prstGeom prst="rect">
                      <a:avLst/>
                    </a:prstGeom>
                  </pic:spPr>
                </pic:pic>
              </a:graphicData>
            </a:graphic>
          </wp:inline>
        </w:drawing>
      </w:r>
    </w:p>
    <w:p>
      <w:pPr>
        <w:spacing w:after="20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771775"/>
                    </a:xfrm>
                    <a:prstGeom prst="rect">
                      <a:avLst/>
                    </a:prstGeom>
                  </pic:spPr>
                </pic:pic>
              </a:graphicData>
            </a:graphic>
          </wp:inline>
        </w:drawing>
      </w:r>
    </w:p>
    <w:p>
      <w:pPr>
        <w:pBdr>
          <w:top w:val="single" w:color="AAAAAA" w:sz="6" w:space="8"/>
        </w:pBdr>
        <w:spacing w:after="150" w:before="500"/>
      </w:pPr>
      <w:r>
        <w:rPr>
          <w:b/>
          <w:bCs/>
          <w:sz w:val="24"/>
          <w:szCs w:val="24"/>
        </w:rPr>
        <w:t xml:space="preserve">Q: </w:t>
      </w:r>
      <w:r>
        <w:rPr>
          <w:i/>
          <w:iCs/>
          <w:sz w:val="24"/>
          <w:szCs w:val="24"/>
        </w:rPr>
        <w:t xml:space="preserve">How does an account's support ticket risk profile relate to whether their deal was Won or Lost? (cross-dataset)</w:t>
      </w:r>
    </w:p>
    <w:p>
      <w:pPr>
        <w:spacing w:after="100"/>
        <w:jc w:val="center"/>
      </w:pPr>
      <w:r>
        <w:rPr>
          <w:b/>
          <w:bCs/>
          <w:color w:val="1F7A46"/>
          <w:sz w:val="22"/>
          <w:szCs w:val="22"/>
        </w:rPr>
        <w:t xml:space="preserve">AFTER</w:t>
      </w:r>
    </w:p>
    <w:p>
      <w:pPr>
        <w:spacing w:after="20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3181350"/>
                    </a:xfrm>
                    <a:prstGeom prst="rect">
                      <a:avLst/>
                    </a:prstGeom>
                  </pic:spPr>
                </pic:pic>
              </a:graphicData>
            </a:graphic>
          </wp:inline>
        </w:drawing>
      </w:r>
    </w:p>
    <w:p>
      <w:pPr>
        <w:spacing w:after="200"/>
        <w:jc w:val="center"/>
      </w:pPr>
      <w:r>
        <w:drawing>
          <wp:inline distT="0" distB="0" distL="0" distR="0">
            <wp:extent cx="4953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3019425"/>
                    </a:xfrm>
                    <a:prstGeom prst="rect">
                      <a:avLst/>
                    </a:prstGeom>
                  </pic:spPr>
                </pic:pic>
              </a:graphicData>
            </a:graphic>
          </wp:inline>
        </w:drawing>
      </w:r>
    </w:p>
    <w:p>
      <w:pPr>
        <w:spacing w:after="200"/>
        <w:jc w:val="center"/>
      </w:pPr>
      <w:r>
        <w:drawing>
          <wp:inline distT="0" distB="0" distL="0" distR="0">
            <wp:extent cx="4953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3076575"/>
                    </a:xfrm>
                    <a:prstGeom prst="rect">
                      <a:avLst/>
                    </a:prstGeom>
                  </pic:spPr>
                </pic:pic>
              </a:graphicData>
            </a:graphic>
          </wp:inline>
        </w:drawing>
      </w:r>
    </w:p>
    <w:p>
      <w:pPr>
        <w:spacing w:after="200"/>
        <w:jc w:val="center"/>
      </w:pPr>
      <w:r>
        <w:drawing>
          <wp:inline distT="0" distB="0" distL="0" distR="0">
            <wp:extent cx="4953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1304925"/>
                    </a:xfrm>
                    <a:prstGeom prst="rect">
                      <a:avLst/>
                    </a:prstGeom>
                  </pic:spPr>
                </pic:pic>
              </a:graphicData>
            </a:graphic>
          </wp:inline>
        </w:drawing>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468c9ce65abd8b45f131d0889a5e43c4d8ea7.png"/><Relationship Id="rId8" Type="http://schemas.openxmlformats.org/officeDocument/2006/relationships/image" Target="media/9b064be6c3025cfca5553b289b0f6c3dc4edefaf.png"/><Relationship Id="rId9" Type="http://schemas.openxmlformats.org/officeDocument/2006/relationships/image" Target="media/4c6743f3bd60533e7aa0fdadd4c36cdea46d0991.png"/><Relationship Id="rId10" Type="http://schemas.openxmlformats.org/officeDocument/2006/relationships/image" Target="media/7a99fe0a8ac92b28d44969f7ff6a1f91b145a917.png"/><Relationship Id="rId11" Type="http://schemas.openxmlformats.org/officeDocument/2006/relationships/image" Target="media/874bddb45636f54cdda9a99af1dd1d6325958ecd.png"/><Relationship Id="rId12" Type="http://schemas.openxmlformats.org/officeDocument/2006/relationships/image" Target="media/a51441da5893b93abd87b8e6f132b7bbc8842406.png"/><Relationship Id="rId13" Type="http://schemas.openxmlformats.org/officeDocument/2006/relationships/image" Target="media/dac49544996117b583c16408802b6564cc4192fd.png"/><Relationship Id="rId14" Type="http://schemas.openxmlformats.org/officeDocument/2006/relationships/image" Target="media/4a085f90dafa4fd850e117d46dd7f2375f8db360.png"/><Relationship Id="rId15" Type="http://schemas.openxmlformats.org/officeDocument/2006/relationships/image" Target="media/60ece0ba04a9b0bfc4d7873e8604bdece46055ca.png"/><Relationship Id="rId16" Type="http://schemas.openxmlformats.org/officeDocument/2006/relationships/image" Target="media/3cb6a57b1fbe7f5731f89fa03ee6530ccb74b37f.png"/><Relationship Id="rId17" Type="http://schemas.openxmlformats.org/officeDocument/2006/relationships/image" Target="media/31812e224a7b253eb625d64589e6570113670e24.png"/><Relationship Id="rId18" Type="http://schemas.openxmlformats.org/officeDocument/2006/relationships/image" Target="media/18efcc409019b651a47fa83120ad3e0760eb8b26.png"/><Relationship Id="rId19" Type="http://schemas.openxmlformats.org/officeDocument/2006/relationships/image" Target="media/046193415e037ba6cc6936819be87011b9490623.png"/><Relationship Id="rId20" Type="http://schemas.openxmlformats.org/officeDocument/2006/relationships/image" Target="media/28566c93b8388f8e2000be85babad92afe662955.png"/><Relationship Id="rId21" Type="http://schemas.openxmlformats.org/officeDocument/2006/relationships/image" Target="media/48c53c762e554ed6c56cc5fff000820a4f5da723.png"/><Relationship Id="rId22" Type="http://schemas.openxmlformats.org/officeDocument/2006/relationships/image" Target="media/fa397bbdd3757a7d56cb5a1b50b6be4668925294.png"/><Relationship Id="rId23" Type="http://schemas.openxmlformats.org/officeDocument/2006/relationships/image" Target="media/2a399c8a93a75927b34760ebbbba775bee2770c9.png"/><Relationship Id="rId24" Type="http://schemas.openxmlformats.org/officeDocument/2006/relationships/image" Target="media/0e9859515992608f1848a471a22003467747f22a.png"/><Relationship Id="rId25" Type="http://schemas.openxmlformats.org/officeDocument/2006/relationships/image" Target="media/26ea579fd34f510b20f940862c4ff46acdc727a2.png"/><Relationship Id="rId26" Type="http://schemas.openxmlformats.org/officeDocument/2006/relationships/image" Target="media/a0d52d731d79a720bc4124ffc4189da6f91549d2.png"/><Relationship Id="rId27" Type="http://schemas.openxmlformats.org/officeDocument/2006/relationships/image" Target="media/d928d62fb4b27d9279575b300e3b658ed16f8ac4.png"/><Relationship Id="rId28" Type="http://schemas.openxmlformats.org/officeDocument/2006/relationships/image" Target="media/46e511144334acbdda49c4f9718179f742f7d276.png"/><Relationship Id="rId29" Type="http://schemas.openxmlformats.org/officeDocument/2006/relationships/image" Target="media/cb97f951691db0578b75bf5521368c4f5ecc0ead.png"/><Relationship Id="rId30" Type="http://schemas.openxmlformats.org/officeDocument/2006/relationships/image" Target="media/61e1b4725cc8d1bb399c201317ba66f6430e86c4.png"/><Relationship Id="rId31" Type="http://schemas.openxmlformats.org/officeDocument/2006/relationships/image" Target="media/79fd7b02151b3068c2b281ada11c3da0520fc41f.png"/><Relationship Id="rId32" Type="http://schemas.openxmlformats.org/officeDocument/2006/relationships/image" Target="media/08aa4ad29c9f4001493fde69e4eaf062c9f04369.png"/><Relationship Id="rId33" Type="http://schemas.openxmlformats.org/officeDocument/2006/relationships/image" Target="media/976095976b5bb689471e2a15c32be3dd81de7508.png"/><Relationship Id="rId34" Type="http://schemas.openxmlformats.org/officeDocument/2006/relationships/image" Target="media/98e2fa6e82c2abb063306cef919fd1c12cca78f1.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2026-09-12T18:38:32.015Z</dcterms:created>
  <dcterms:modified xsi:type="dcterms:W3CDTF">2026-09-12T18:38:32.015Z</dcterms:modified>
</cp:coreProperties>
</file>

<file path=docProps/custom.xml><?xml version="1.0" encoding="utf-8"?>
<Properties xmlns="http://schemas.openxmlformats.org/officeDocument/2006/custom-properties" xmlns:vt="http://schemas.openxmlformats.org/officeDocument/2006/docPropsVTypes"/>
</file>