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26541F" w14:textId="77777777" w:rsidR="00E12317" w:rsidRPr="009D5EA6" w:rsidRDefault="00000000">
      <w:pPr>
        <w:spacing w:after="60"/>
        <w:jc w:val="center"/>
        <w:rPr>
          <w:color w:val="156082" w:themeColor="accent1"/>
        </w:rPr>
      </w:pPr>
      <w:proofErr w:type="spellStart"/>
      <w:r w:rsidRPr="009D5EA6">
        <w:rPr>
          <w:b/>
          <w:bCs/>
          <w:color w:val="156082" w:themeColor="accent1"/>
          <w:sz w:val="40"/>
          <w:szCs w:val="40"/>
        </w:rPr>
        <w:t>NovaTech</w:t>
      </w:r>
      <w:proofErr w:type="spellEnd"/>
      <w:r w:rsidRPr="009D5EA6">
        <w:rPr>
          <w:b/>
          <w:bCs/>
          <w:color w:val="156082" w:themeColor="accent1"/>
          <w:sz w:val="40"/>
          <w:szCs w:val="40"/>
        </w:rPr>
        <w:t xml:space="preserve"> Revenue Intelligence Dashboard</w:t>
      </w:r>
    </w:p>
    <w:p w14:paraId="2675F95D" w14:textId="6229E857" w:rsidR="00E12317" w:rsidRDefault="00000000">
      <w:pPr>
        <w:spacing w:after="40"/>
        <w:jc w:val="center"/>
      </w:pPr>
      <w:r>
        <w:rPr>
          <w:i/>
          <w:iCs/>
          <w:color w:val="666666"/>
          <w:sz w:val="24"/>
          <w:szCs w:val="24"/>
        </w:rPr>
        <w:t xml:space="preserve">Executive Summary </w:t>
      </w:r>
      <w:r w:rsidR="006437FF">
        <w:rPr>
          <w:i/>
          <w:iCs/>
          <w:color w:val="666666"/>
          <w:sz w:val="24"/>
          <w:szCs w:val="24"/>
        </w:rPr>
        <w:t>-</w:t>
      </w:r>
      <w:r>
        <w:rPr>
          <w:i/>
          <w:iCs/>
          <w:color w:val="666666"/>
          <w:sz w:val="24"/>
          <w:szCs w:val="24"/>
        </w:rPr>
        <w:t xml:space="preserve"> Prepared for Sarah Chen, VP of Revenue</w:t>
      </w:r>
    </w:p>
    <w:p w14:paraId="16EC1EEF" w14:textId="490D1245" w:rsidR="00E12317" w:rsidRDefault="00000000">
      <w:pPr>
        <w:pBdr>
          <w:bottom w:val="single" w:sz="6" w:space="8" w:color="6B2FB3"/>
        </w:pBdr>
        <w:spacing w:after="300"/>
        <w:jc w:val="center"/>
      </w:pPr>
      <w:r>
        <w:t xml:space="preserve">September 13, </w:t>
      </w:r>
      <w:proofErr w:type="gramStart"/>
      <w:r>
        <w:t>2026</w:t>
      </w:r>
      <w:proofErr w:type="gramEnd"/>
      <w:r>
        <w:t xml:space="preserve"> </w:t>
      </w:r>
      <w:r w:rsidR="001926FF">
        <w:t>| Prepared</w:t>
      </w:r>
      <w:r>
        <w:t xml:space="preserve"> by: </w:t>
      </w:r>
      <w:r w:rsidR="006437FF">
        <w:t>Ecem Bökenheide</w:t>
      </w:r>
      <w:r>
        <w:t>, Business Intelligence Analyst</w:t>
      </w:r>
    </w:p>
    <w:p w14:paraId="7B6B6880" w14:textId="77777777" w:rsidR="00E12317" w:rsidRDefault="00000000">
      <w:pPr>
        <w:pStyle w:val="berschrift1"/>
        <w:keepNext/>
        <w:spacing w:before="280" w:after="140"/>
      </w:pPr>
      <w:r>
        <w:t>1. Overview</w:t>
      </w:r>
    </w:p>
    <w:p w14:paraId="6294E0BF" w14:textId="52E76C59" w:rsidR="00E12317" w:rsidRDefault="00000000">
      <w:pPr>
        <w:spacing w:after="120"/>
        <w:jc w:val="both"/>
      </w:pPr>
      <w:r>
        <w:rPr>
          <w:color w:val="222222"/>
          <w:sz w:val="21"/>
          <w:szCs w:val="21"/>
        </w:rPr>
        <w:t xml:space="preserve">This report summarizes the design, data strategy, and key findings of the </w:t>
      </w:r>
      <w:proofErr w:type="spellStart"/>
      <w:r>
        <w:rPr>
          <w:color w:val="222222"/>
          <w:sz w:val="21"/>
          <w:szCs w:val="21"/>
        </w:rPr>
        <w:t>NovaTech</w:t>
      </w:r>
      <w:proofErr w:type="spellEnd"/>
      <w:r>
        <w:rPr>
          <w:color w:val="222222"/>
          <w:sz w:val="21"/>
          <w:szCs w:val="21"/>
        </w:rPr>
        <w:t xml:space="preserve"> Revenue Intelligence Dashboard, built in AWS </w:t>
      </w:r>
      <w:proofErr w:type="spellStart"/>
      <w:r>
        <w:rPr>
          <w:color w:val="222222"/>
          <w:sz w:val="21"/>
          <w:szCs w:val="21"/>
        </w:rPr>
        <w:t>QuickSight</w:t>
      </w:r>
      <w:proofErr w:type="spellEnd"/>
      <w:r>
        <w:rPr>
          <w:color w:val="222222"/>
          <w:sz w:val="21"/>
          <w:szCs w:val="21"/>
        </w:rPr>
        <w:t xml:space="preserve"> to unify the Marketing, Sales, and Customer Support systems that previously operated in silos. The dashboard directly addresses the three views and five example business questions from your original </w:t>
      </w:r>
      <w:proofErr w:type="gramStart"/>
      <w:r>
        <w:rPr>
          <w:color w:val="222222"/>
          <w:sz w:val="21"/>
          <w:szCs w:val="21"/>
        </w:rPr>
        <w:t>brief, and</w:t>
      </w:r>
      <w:proofErr w:type="gramEnd"/>
      <w:r>
        <w:rPr>
          <w:color w:val="222222"/>
          <w:sz w:val="21"/>
          <w:szCs w:val="21"/>
        </w:rPr>
        <w:t xml:space="preserve"> adds a </w:t>
      </w:r>
      <w:r w:rsidR="001926FF">
        <w:rPr>
          <w:color w:val="222222"/>
          <w:sz w:val="21"/>
          <w:szCs w:val="21"/>
        </w:rPr>
        <w:t>natural language</w:t>
      </w:r>
      <w:r>
        <w:rPr>
          <w:color w:val="222222"/>
          <w:sz w:val="21"/>
          <w:szCs w:val="21"/>
        </w:rPr>
        <w:t xml:space="preserve"> "Ask a question" layer (Amazon Q) so the Revenue team can query the data without waiting on a BI request.</w:t>
      </w:r>
    </w:p>
    <w:p w14:paraId="047EEF1C" w14:textId="77777777" w:rsidR="00E12317" w:rsidRDefault="00000000">
      <w:pPr>
        <w:pStyle w:val="berschrift1"/>
        <w:keepNext/>
        <w:spacing w:before="280" w:after="140"/>
      </w:pPr>
      <w:r>
        <w:t>2. Data Strategy</w:t>
      </w:r>
    </w:p>
    <w:p w14:paraId="14A7B1FB" w14:textId="77777777" w:rsidR="00E12317" w:rsidRDefault="00000000">
      <w:pPr>
        <w:pStyle w:val="Listenabsatz"/>
        <w:keepLines/>
        <w:numPr>
          <w:ilvl w:val="0"/>
          <w:numId w:val="1"/>
        </w:numPr>
        <w:spacing w:after="80"/>
      </w:pPr>
      <w:r>
        <w:rPr>
          <w:b/>
          <w:bCs/>
          <w:color w:val="222222"/>
          <w:sz w:val="21"/>
          <w:szCs w:val="21"/>
        </w:rPr>
        <w:t xml:space="preserve">Three source datasets, one join key. </w:t>
      </w:r>
      <w:r>
        <w:rPr>
          <w:color w:val="222222"/>
          <w:sz w:val="21"/>
          <w:szCs w:val="21"/>
        </w:rPr>
        <w:t xml:space="preserve">CRM Deals (499 rows), Marketing Campaigns (2,240 rows), and Support Tickets (3,000 rows) were imported into </w:t>
      </w:r>
      <w:proofErr w:type="spellStart"/>
      <w:r>
        <w:rPr>
          <w:color w:val="222222"/>
          <w:sz w:val="21"/>
          <w:szCs w:val="21"/>
        </w:rPr>
        <w:t>QuickSight</w:t>
      </w:r>
      <w:proofErr w:type="spellEnd"/>
      <w:r>
        <w:rPr>
          <w:color w:val="222222"/>
          <w:sz w:val="21"/>
          <w:szCs w:val="21"/>
        </w:rPr>
        <w:t xml:space="preserve"> and unified entirely through the shared </w:t>
      </w:r>
      <w:proofErr w:type="spellStart"/>
      <w:r>
        <w:rPr>
          <w:color w:val="222222"/>
          <w:sz w:val="21"/>
          <w:szCs w:val="21"/>
        </w:rPr>
        <w:t>account_id</w:t>
      </w:r>
      <w:proofErr w:type="spellEnd"/>
      <w:r>
        <w:rPr>
          <w:color w:val="222222"/>
          <w:sz w:val="21"/>
          <w:szCs w:val="21"/>
        </w:rPr>
        <w:t xml:space="preserve"> field, exactly as specified in the brief's cross-view requirements.</w:t>
      </w:r>
    </w:p>
    <w:p w14:paraId="0063B57E" w14:textId="77777777" w:rsidR="00E12317" w:rsidRDefault="00000000">
      <w:pPr>
        <w:pStyle w:val="Listenabsatz"/>
        <w:keepLines/>
        <w:numPr>
          <w:ilvl w:val="0"/>
          <w:numId w:val="1"/>
        </w:numPr>
        <w:spacing w:after="80"/>
      </w:pPr>
      <w:r>
        <w:rPr>
          <w:b/>
          <w:sz w:val="21"/>
        </w:rPr>
        <w:t xml:space="preserve">Account-level aggregation for cross-dataset metrics. </w:t>
      </w:r>
      <w:r>
        <w:rPr>
          <w:sz w:val="21"/>
        </w:rPr>
        <w:t xml:space="preserve">The three sources are linked through </w:t>
      </w:r>
      <w:proofErr w:type="spellStart"/>
      <w:r>
        <w:rPr>
          <w:sz w:val="21"/>
        </w:rPr>
        <w:t>account_id</w:t>
      </w:r>
      <w:proofErr w:type="spellEnd"/>
      <w:r>
        <w:rPr>
          <w:sz w:val="21"/>
        </w:rPr>
        <w:t xml:space="preserve">, but </w:t>
      </w:r>
      <w:proofErr w:type="spellStart"/>
      <w:r>
        <w:rPr>
          <w:sz w:val="21"/>
        </w:rPr>
        <w:t>account_id</w:t>
      </w:r>
      <w:proofErr w:type="spellEnd"/>
      <w:r>
        <w:rPr>
          <w:sz w:val="21"/>
        </w:rPr>
        <w:t xml:space="preserve"> is not unique within each source, so row-level joins can create fan-out (row multiplication). For account-level cross-dataset analysis, such as the Customer Health risk table, metrics were aggregated at the account level to avoid duplicated totals.</w:t>
      </w:r>
    </w:p>
    <w:p w14:paraId="0C3644F2" w14:textId="3EA16874" w:rsidR="00E12317" w:rsidRDefault="00000000">
      <w:pPr>
        <w:pStyle w:val="Listenabsatz"/>
        <w:keepLines/>
        <w:numPr>
          <w:ilvl w:val="0"/>
          <w:numId w:val="1"/>
        </w:numPr>
        <w:spacing w:after="80"/>
      </w:pPr>
      <w:r>
        <w:rPr>
          <w:b/>
          <w:bCs/>
          <w:color w:val="222222"/>
          <w:sz w:val="21"/>
          <w:szCs w:val="21"/>
        </w:rPr>
        <w:t xml:space="preserve">Verified against the data dictionary. </w:t>
      </w:r>
      <w:r>
        <w:rPr>
          <w:color w:val="222222"/>
          <w:sz w:val="21"/>
          <w:szCs w:val="21"/>
        </w:rPr>
        <w:t>Every field's meaning and expected values were confirmed against the provided data dictionary before any visual was built. Seven independent verification queries (</w:t>
      </w:r>
      <w:proofErr w:type="gramStart"/>
      <w:r>
        <w:rPr>
          <w:color w:val="222222"/>
          <w:sz w:val="21"/>
          <w:szCs w:val="21"/>
        </w:rPr>
        <w:t>two</w:t>
      </w:r>
      <w:proofErr w:type="gramEnd"/>
      <w:r>
        <w:rPr>
          <w:color w:val="222222"/>
          <w:sz w:val="21"/>
          <w:szCs w:val="21"/>
        </w:rPr>
        <w:t xml:space="preserve"> each against CRM, Marketing, and Support, plus one against the written company background) all matched the expected values exactly</w:t>
      </w:r>
      <w:r w:rsidR="006437FF">
        <w:rPr>
          <w:color w:val="222222"/>
          <w:sz w:val="21"/>
          <w:szCs w:val="21"/>
        </w:rPr>
        <w:t>.</w:t>
      </w:r>
      <w:r>
        <w:rPr>
          <w:color w:val="222222"/>
          <w:sz w:val="21"/>
          <w:szCs w:val="21"/>
        </w:rPr>
        <w:t xml:space="preserve"> </w:t>
      </w:r>
      <w:r w:rsidR="006437FF">
        <w:rPr>
          <w:color w:val="222222"/>
          <w:sz w:val="21"/>
          <w:szCs w:val="21"/>
        </w:rPr>
        <w:t>(S</w:t>
      </w:r>
      <w:r>
        <w:rPr>
          <w:color w:val="222222"/>
          <w:sz w:val="21"/>
          <w:szCs w:val="21"/>
        </w:rPr>
        <w:t>ee Verification Log.</w:t>
      </w:r>
      <w:r w:rsidR="006437FF">
        <w:rPr>
          <w:color w:val="222222"/>
          <w:sz w:val="21"/>
          <w:szCs w:val="21"/>
        </w:rPr>
        <w:t>)</w:t>
      </w:r>
    </w:p>
    <w:p w14:paraId="18FFA4CD" w14:textId="77777777" w:rsidR="00E12317" w:rsidRDefault="00000000">
      <w:pPr>
        <w:pStyle w:val="berschrift1"/>
        <w:keepNext/>
        <w:spacing w:before="280" w:after="140"/>
      </w:pPr>
      <w:r>
        <w:t>3. Design Rationale</w:t>
      </w:r>
    </w:p>
    <w:p w14:paraId="226206C2" w14:textId="77777777" w:rsidR="00E12317" w:rsidRDefault="00000000">
      <w:pPr>
        <w:spacing w:after="120"/>
        <w:jc w:val="both"/>
        <w:rPr>
          <w:color w:val="222222"/>
          <w:sz w:val="21"/>
          <w:szCs w:val="21"/>
        </w:rPr>
      </w:pPr>
      <w:r>
        <w:rPr>
          <w:color w:val="222222"/>
          <w:sz w:val="21"/>
          <w:szCs w:val="21"/>
        </w:rPr>
        <w:t>The dashboard has three sheets, mirroring the three domains in your brief, with page-level filter controls and account-level drill-down so an analyst can move from a channel-level trend down to a single account's history without leaving the tool.</w:t>
      </w:r>
    </w:p>
    <w:tbl>
      <w:tblPr>
        <w:tblStyle w:val="Gitternetztabelle1hellAkzent1"/>
        <w:tblW w:w="0" w:type="auto"/>
        <w:tblLayout w:type="fixed"/>
        <w:tblLook w:val="04A0" w:firstRow="1" w:lastRow="0" w:firstColumn="1" w:lastColumn="0" w:noHBand="0" w:noVBand="1"/>
      </w:tblPr>
      <w:tblGrid>
        <w:gridCol w:w="2232"/>
        <w:gridCol w:w="4320"/>
        <w:gridCol w:w="3672"/>
      </w:tblGrid>
      <w:tr w:rsidR="006437FF" w:rsidRPr="006437FF" w14:paraId="54E88F88" w14:textId="77777777" w:rsidTr="001A7B4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32" w:type="dxa"/>
            <w:hideMark/>
          </w:tcPr>
          <w:p w14:paraId="3AAC3BF4" w14:textId="77777777" w:rsidR="006437FF" w:rsidRPr="006437FF" w:rsidRDefault="006437FF" w:rsidP="006437FF">
            <w:pPr>
              <w:spacing w:after="120"/>
              <w:jc w:val="both"/>
            </w:pPr>
            <w:r w:rsidRPr="006437FF">
              <w:t>Sheet</w:t>
            </w:r>
          </w:p>
        </w:tc>
        <w:tc>
          <w:tcPr>
            <w:tcW w:w="4320" w:type="dxa"/>
            <w:hideMark/>
          </w:tcPr>
          <w:p w14:paraId="7C84CA57" w14:textId="77777777" w:rsidR="006437FF" w:rsidRPr="006437FF" w:rsidRDefault="006437FF" w:rsidP="006437FF">
            <w:pPr>
              <w:spacing w:after="120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6437FF">
              <w:t>Key Visuals</w:t>
            </w:r>
          </w:p>
        </w:tc>
        <w:tc>
          <w:tcPr>
            <w:tcW w:w="3672" w:type="dxa"/>
            <w:hideMark/>
          </w:tcPr>
          <w:p w14:paraId="0D536F7C" w14:textId="77777777" w:rsidR="006437FF" w:rsidRPr="006437FF" w:rsidRDefault="006437FF" w:rsidP="006437FF">
            <w:pPr>
              <w:spacing w:after="120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6437FF">
              <w:t>Answers</w:t>
            </w:r>
          </w:p>
        </w:tc>
      </w:tr>
      <w:tr w:rsidR="006437FF" w:rsidRPr="006437FF" w14:paraId="280A7601" w14:textId="77777777" w:rsidTr="001A7B4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32" w:type="dxa"/>
            <w:hideMark/>
          </w:tcPr>
          <w:p w14:paraId="78D74A0A" w14:textId="77777777" w:rsidR="006437FF" w:rsidRPr="006437FF" w:rsidRDefault="006437FF" w:rsidP="006437FF">
            <w:pPr>
              <w:spacing w:after="120"/>
              <w:jc w:val="both"/>
            </w:pPr>
            <w:r w:rsidRPr="006437FF">
              <w:t>Marketing Funnel</w:t>
            </w:r>
          </w:p>
        </w:tc>
        <w:tc>
          <w:tcPr>
            <w:tcW w:w="4320" w:type="dxa"/>
            <w:hideMark/>
          </w:tcPr>
          <w:p w14:paraId="76406893" w14:textId="77777777" w:rsidR="006437FF" w:rsidRPr="006437FF" w:rsidRDefault="006437FF" w:rsidP="006437FF">
            <w:pPr>
              <w:spacing w:after="12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437FF">
              <w:t>Revenue by channel; funnel-stage counts; campaign spend vs. attributed revenue; response rate by channel</w:t>
            </w:r>
          </w:p>
        </w:tc>
        <w:tc>
          <w:tcPr>
            <w:tcW w:w="3672" w:type="dxa"/>
            <w:hideMark/>
          </w:tcPr>
          <w:p w14:paraId="1FF8D4DA" w14:textId="77777777" w:rsidR="006437FF" w:rsidRPr="006437FF" w:rsidRDefault="006437FF" w:rsidP="006437FF">
            <w:pPr>
              <w:spacing w:after="12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437FF">
              <w:t>Campaign performance, lead-to-deal conversion, campaign return on investment (ROI), response rates</w:t>
            </w:r>
          </w:p>
        </w:tc>
      </w:tr>
      <w:tr w:rsidR="006437FF" w:rsidRPr="006437FF" w14:paraId="781B1E51" w14:textId="77777777" w:rsidTr="001A7B4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32" w:type="dxa"/>
            <w:hideMark/>
          </w:tcPr>
          <w:p w14:paraId="345DD0CB" w14:textId="77777777" w:rsidR="006437FF" w:rsidRPr="006437FF" w:rsidRDefault="006437FF" w:rsidP="006437FF">
            <w:pPr>
              <w:spacing w:after="120"/>
              <w:jc w:val="both"/>
            </w:pPr>
            <w:r w:rsidRPr="006437FF">
              <w:t>Sales Pipeline</w:t>
            </w:r>
          </w:p>
        </w:tc>
        <w:tc>
          <w:tcPr>
            <w:tcW w:w="4320" w:type="dxa"/>
            <w:hideMark/>
          </w:tcPr>
          <w:p w14:paraId="0E1FB9B7" w14:textId="77777777" w:rsidR="006437FF" w:rsidRPr="006437FF" w:rsidRDefault="006437FF" w:rsidP="006437FF">
            <w:pPr>
              <w:spacing w:after="12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437FF">
              <w:t>Won/Lost counts; total deal value by product; deal count by region and stage; average deal value by company size; days to close</w:t>
            </w:r>
          </w:p>
        </w:tc>
        <w:tc>
          <w:tcPr>
            <w:tcW w:w="3672" w:type="dxa"/>
            <w:hideMark/>
          </w:tcPr>
          <w:p w14:paraId="72245D45" w14:textId="77777777" w:rsidR="006437FF" w:rsidRPr="006437FF" w:rsidRDefault="006437FF" w:rsidP="006437FF">
            <w:pPr>
              <w:spacing w:after="12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437FF">
              <w:t>Deal outcomes, revenue by product, regional performance, win rates, days to close, average deal value by company size</w:t>
            </w:r>
          </w:p>
        </w:tc>
      </w:tr>
      <w:tr w:rsidR="006437FF" w:rsidRPr="006437FF" w14:paraId="00D24489" w14:textId="77777777" w:rsidTr="001A7B4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32" w:type="dxa"/>
            <w:hideMark/>
          </w:tcPr>
          <w:p w14:paraId="43670C2D" w14:textId="77777777" w:rsidR="006437FF" w:rsidRPr="006437FF" w:rsidRDefault="006437FF" w:rsidP="006437FF">
            <w:pPr>
              <w:spacing w:after="120"/>
              <w:jc w:val="both"/>
            </w:pPr>
            <w:r w:rsidRPr="006437FF">
              <w:t>Customer Health</w:t>
            </w:r>
          </w:p>
        </w:tc>
        <w:tc>
          <w:tcPr>
            <w:tcW w:w="4320" w:type="dxa"/>
            <w:hideMark/>
          </w:tcPr>
          <w:p w14:paraId="634AF2D6" w14:textId="77777777" w:rsidR="006437FF" w:rsidRPr="006437FF" w:rsidRDefault="006437FF" w:rsidP="006437FF">
            <w:pPr>
              <w:spacing w:after="12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437FF">
              <w:t>Tickets by account; resolution time by priority; support tickets by product area; customer sentiment; at-risk accounts table</w:t>
            </w:r>
          </w:p>
        </w:tc>
        <w:tc>
          <w:tcPr>
            <w:tcW w:w="3672" w:type="dxa"/>
            <w:hideMark/>
          </w:tcPr>
          <w:p w14:paraId="4D52E970" w14:textId="77777777" w:rsidR="006437FF" w:rsidRPr="006437FF" w:rsidRDefault="006437FF" w:rsidP="006437FF">
            <w:pPr>
              <w:spacing w:after="12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437FF">
              <w:t>Ticket volume, resolution times, product issues, sentiment, combined risk indicators</w:t>
            </w:r>
          </w:p>
        </w:tc>
      </w:tr>
    </w:tbl>
    <w:p w14:paraId="53DFCD34" w14:textId="77777777" w:rsidR="006437FF" w:rsidRDefault="006437FF">
      <w:pPr>
        <w:spacing w:after="120"/>
        <w:jc w:val="both"/>
      </w:pPr>
    </w:p>
    <w:p w14:paraId="0A7BBBD3" w14:textId="77777777" w:rsidR="006437FF" w:rsidRDefault="006437FF">
      <w:pPr>
        <w:spacing w:after="120"/>
        <w:jc w:val="both"/>
      </w:pPr>
    </w:p>
    <w:p w14:paraId="789E2339" w14:textId="77777777" w:rsidR="00E12317" w:rsidRDefault="00E12317">
      <w:pPr>
        <w:spacing w:after="160"/>
      </w:pPr>
    </w:p>
    <w:p w14:paraId="1E6CBC01" w14:textId="50F2359C" w:rsidR="009639DD" w:rsidRDefault="00000000">
      <w:pPr>
        <w:pStyle w:val="berschrift1"/>
        <w:keepNext/>
        <w:spacing w:before="280" w:after="140"/>
      </w:pPr>
      <w:r>
        <w:t>4. Amazon Q Impact</w:t>
      </w:r>
    </w:p>
    <w:p w14:paraId="3570FA1D" w14:textId="77777777" w:rsidR="00E12317" w:rsidRDefault="00000000">
      <w:pPr>
        <w:spacing w:after="120"/>
        <w:jc w:val="both"/>
      </w:pPr>
      <w:r>
        <w:rPr>
          <w:sz w:val="21"/>
        </w:rPr>
        <w:t xml:space="preserve">A Topic (the configured semantic layer used by Quick Chat to interpret business terms and relationships) was set up over all three datasets with explicit relationships on </w:t>
      </w:r>
      <w:proofErr w:type="spellStart"/>
      <w:r>
        <w:rPr>
          <w:sz w:val="21"/>
        </w:rPr>
        <w:t>account_id</w:t>
      </w:r>
      <w:proofErr w:type="spellEnd"/>
      <w:r>
        <w:rPr>
          <w:sz w:val="21"/>
        </w:rPr>
        <w:t xml:space="preserve">, then published so the Revenue team can ask natural-language </w:t>
      </w:r>
      <w:r>
        <w:rPr>
          <w:sz w:val="21"/>
        </w:rPr>
        <w:lastRenderedPageBreak/>
        <w:t>questions directly. Five example-style questions were run against the Topic and cross-checked against the dashboard visuals (Q Exploration Log, attached):</w:t>
      </w:r>
    </w:p>
    <w:p w14:paraId="4A38001A" w14:textId="77777777" w:rsidR="00E12317" w:rsidRDefault="00000000">
      <w:pPr>
        <w:pStyle w:val="Listenabsatz"/>
        <w:keepLines/>
        <w:numPr>
          <w:ilvl w:val="0"/>
          <w:numId w:val="1"/>
        </w:numPr>
        <w:spacing w:after="80"/>
      </w:pPr>
      <w:r>
        <w:rPr>
          <w:b/>
          <w:sz w:val="21"/>
        </w:rPr>
        <w:t xml:space="preserve">3 of 5 questions matched the corresponding dashboard findings closely. </w:t>
      </w:r>
      <w:r>
        <w:rPr>
          <w:sz w:val="21"/>
        </w:rPr>
        <w:t xml:space="preserve">This included the average deal-value ranking by company size, the top accounts by support-ticket volume, and the finding that all six campaigns spend more than their attributed revenue. </w:t>
      </w:r>
      <w:proofErr w:type="spellStart"/>
      <w:r>
        <w:rPr>
          <w:sz w:val="21"/>
        </w:rPr>
        <w:t>YieldMax</w:t>
      </w:r>
      <w:proofErr w:type="spellEnd"/>
      <w:r>
        <w:rPr>
          <w:sz w:val="21"/>
        </w:rPr>
        <w:t xml:space="preserve"> Software, for example, </w:t>
      </w:r>
      <w:proofErr w:type="gramStart"/>
      <w:r>
        <w:rPr>
          <w:sz w:val="21"/>
        </w:rPr>
        <w:t>matched at</w:t>
      </w:r>
      <w:proofErr w:type="gramEnd"/>
      <w:r>
        <w:rPr>
          <w:sz w:val="21"/>
        </w:rPr>
        <w:t xml:space="preserve"> 334 tickets and $40,722 in deal value.</w:t>
      </w:r>
    </w:p>
    <w:p w14:paraId="6168CFEB" w14:textId="77777777" w:rsidR="00E12317" w:rsidRPr="009639DD" w:rsidRDefault="00000000">
      <w:pPr>
        <w:pStyle w:val="Listenabsatz"/>
        <w:keepLines/>
        <w:numPr>
          <w:ilvl w:val="0"/>
          <w:numId w:val="1"/>
        </w:numPr>
        <w:spacing w:after="80"/>
      </w:pPr>
      <w:r>
        <w:rPr>
          <w:b/>
          <w:sz w:val="21"/>
        </w:rPr>
        <w:t xml:space="preserve">2 of 5 showed partial agreement. </w:t>
      </w:r>
      <w:r>
        <w:rPr>
          <w:sz w:val="21"/>
        </w:rPr>
        <w:t>For campaign performance, Q and the dashboard both identified Direct Mail as the strongest channel, but Q used lead-to-close conversion while the dashboard visual used average campaign response, so the measures were not identical. For resolution time, Q was directionally correct but overstated the critical-versus-low gap; inflated ticket counts in the Q response also indicate possible fan-out when traversing cross-dataset relationships.</w:t>
      </w:r>
    </w:p>
    <w:p w14:paraId="43AAB152" w14:textId="255F09CE" w:rsidR="009639DD" w:rsidRPr="009639DD" w:rsidRDefault="009639DD" w:rsidP="009639DD">
      <w:pPr>
        <w:spacing w:after="120"/>
        <w:jc w:val="both"/>
        <w:rPr>
          <w:sz w:val="21"/>
        </w:rPr>
      </w:pPr>
      <w:r w:rsidRPr="009639DD">
        <w:rPr>
          <w:sz w:val="21"/>
        </w:rPr>
        <w:t>For the two before/after baseline questions (campaign revenue by channel, response rate by channel), Q's numeric answers were already accurate prior to Topic configuration; the Topic did not change the values but did change how the answer was grounded, citations shifted from a generic dataset reference to a specific dashboard sheet ("Marketing Funnel"), meaning post-Topic answers are now traceable to a verifiable visual rather than an opaque dataset scan. The measurable accuracy improvement from the Topic shows up more clearly in the 5-question Q Exploration Log, where 3 of 5 answers matched the dashboard exactly and 2 of 5 required minor reconciliation, all cross-checked against specific visuals enabled by the Topic's field-level business definitions.</w:t>
      </w:r>
    </w:p>
    <w:p w14:paraId="184569C1" w14:textId="39F6D945" w:rsidR="009D5EA6" w:rsidRDefault="00000000">
      <w:pPr>
        <w:pStyle w:val="berschrift1"/>
        <w:keepNext/>
        <w:spacing w:before="280" w:after="140"/>
      </w:pPr>
      <w:r>
        <w:t>5. Key Findings &amp; Recommended Actions</w:t>
      </w:r>
    </w:p>
    <w:p w14:paraId="41343BDC" w14:textId="38404386" w:rsidR="009D5EA6" w:rsidRDefault="009D5EA6" w:rsidP="009D5EA6">
      <w:pPr>
        <w:pStyle w:val="Listenabsatz"/>
        <w:numPr>
          <w:ilvl w:val="0"/>
          <w:numId w:val="2"/>
        </w:numPr>
      </w:pPr>
      <w:r>
        <w:t xml:space="preserve">Partner Referral drives revenue, while Direct Mail leads campaign response. Partner Referral accounts for about 60% of attributed revenue ($676,977 of $1.13M), more than three times the next channel, Direct Mail ($211,067). Direct Mail has the highest average campaign response on the dashboard. Recommendation: Protect and grow the Partner Referral channel while testing a modest Direct Mail expansion to see whether its strong response performance </w:t>
      </w:r>
      <w:proofErr w:type="gramStart"/>
      <w:r>
        <w:t>holds at</w:t>
      </w:r>
      <w:proofErr w:type="gramEnd"/>
      <w:r>
        <w:t xml:space="preserve"> greater scale.</w:t>
      </w:r>
    </w:p>
    <w:p w14:paraId="0BE930F4" w14:textId="77777777" w:rsidR="009D5EA6" w:rsidRDefault="009D5EA6" w:rsidP="009D5EA6"/>
    <w:p w14:paraId="0C07C5CE" w14:textId="71E995E6" w:rsidR="009D5EA6" w:rsidRDefault="009D5EA6" w:rsidP="009D5EA6">
      <w:pPr>
        <w:pStyle w:val="Listenabsatz"/>
        <w:numPr>
          <w:ilvl w:val="0"/>
          <w:numId w:val="2"/>
        </w:numPr>
      </w:pPr>
      <w:r>
        <w:t xml:space="preserve">Every campaign has </w:t>
      </w:r>
      <w:proofErr w:type="gramStart"/>
      <w:r>
        <w:t>negative</w:t>
      </w:r>
      <w:proofErr w:type="gramEnd"/>
      <w:r>
        <w:t xml:space="preserve"> attributed return on investment (ROI). All six campaigns show </w:t>
      </w:r>
      <w:proofErr w:type="gramStart"/>
      <w:r>
        <w:t>spend</w:t>
      </w:r>
      <w:proofErr w:type="gramEnd"/>
      <w:r>
        <w:t xml:space="preserve"> exceeding attributed revenue. Digital Retarget has the largest absolute spend-revenue gap at approximately $2.2M, while </w:t>
      </w:r>
      <w:proofErr w:type="spellStart"/>
      <w:r>
        <w:t>NovaEdge</w:t>
      </w:r>
      <w:proofErr w:type="spellEnd"/>
      <w:r>
        <w:t xml:space="preserve"> Awareness has the worst percentage ROI. Recommendation: Review the revenue attribution model and reassess campaign spending, starting with Digital Retarget because it has the largest absolute spend-revenue gap.</w:t>
      </w:r>
    </w:p>
    <w:p w14:paraId="213C160D" w14:textId="77777777" w:rsidR="009D5EA6" w:rsidRDefault="009D5EA6" w:rsidP="009D5EA6"/>
    <w:p w14:paraId="1926BCA1" w14:textId="15E09792" w:rsidR="009D5EA6" w:rsidRDefault="009D5EA6" w:rsidP="009D5EA6">
      <w:pPr>
        <w:pStyle w:val="Listenabsatz"/>
        <w:numPr>
          <w:ilvl w:val="0"/>
          <w:numId w:val="2"/>
        </w:numPr>
      </w:pPr>
      <w:r>
        <w:t xml:space="preserve">Enterprise deals have the highest average deal value. Enterprise deals average about $1,589, compared with approximately $1,257 for </w:t>
      </w:r>
      <w:proofErr w:type="gramStart"/>
      <w:r>
        <w:t>Large</w:t>
      </w:r>
      <w:proofErr w:type="gramEnd"/>
      <w:r>
        <w:t xml:space="preserve"> accounts, which have the lowest average deal value among the four company-size tiers. Recommendation: Consider prioritizing Enterprise-tier prospecting where per-deal economics appear strongest, while continuing to monitor performance across the other company-size segments.</w:t>
      </w:r>
    </w:p>
    <w:p w14:paraId="7E1F2009" w14:textId="77777777" w:rsidR="009D5EA6" w:rsidRDefault="009D5EA6" w:rsidP="009D5EA6"/>
    <w:p w14:paraId="0B1CF847" w14:textId="79A610C4" w:rsidR="009D5EA6" w:rsidRDefault="009D5EA6" w:rsidP="009D5EA6">
      <w:pPr>
        <w:pStyle w:val="Listenabsatz"/>
        <w:numPr>
          <w:ilvl w:val="0"/>
          <w:numId w:val="2"/>
        </w:numPr>
      </w:pPr>
      <w:r>
        <w:t xml:space="preserve">A small set of accounts carries outsized support and churn risk. </w:t>
      </w:r>
      <w:proofErr w:type="spellStart"/>
      <w:r>
        <w:t>YieldMax</w:t>
      </w:r>
      <w:proofErr w:type="spellEnd"/>
      <w:r>
        <w:t xml:space="preserve"> Software leads all accounts with 334 support tickets, including 63 negative-sentiment tickets, against $40,722 in deal value. TrueNorth Electronics and </w:t>
      </w:r>
      <w:proofErr w:type="spellStart"/>
      <w:r>
        <w:t>LionGate</w:t>
      </w:r>
      <w:proofErr w:type="spellEnd"/>
      <w:r>
        <w:t xml:space="preserve"> Holdings also rank among the highest-risk accounts. Recommendation: Prioritize proactive account-management outreach to these high-risk accounts, including dedicated health checks before upcoming renewals.</w:t>
      </w:r>
    </w:p>
    <w:p w14:paraId="716D6AC5" w14:textId="77777777" w:rsidR="009D5EA6" w:rsidRDefault="009D5EA6" w:rsidP="009D5EA6"/>
    <w:p w14:paraId="0B4B8C42" w14:textId="3B62C2CF" w:rsidR="009D5EA6" w:rsidRDefault="009D5EA6" w:rsidP="009D5EA6">
      <w:pPr>
        <w:pStyle w:val="Listenabsatz"/>
        <w:numPr>
          <w:ilvl w:val="0"/>
          <w:numId w:val="2"/>
        </w:numPr>
      </w:pPr>
      <w:r>
        <w:t xml:space="preserve">Critical tickets </w:t>
      </w:r>
      <w:proofErr w:type="gramStart"/>
      <w:r>
        <w:t>resolve</w:t>
      </w:r>
      <w:proofErr w:type="gramEnd"/>
      <w:r>
        <w:t xml:space="preserve"> only slightly faster than low-priority tickets. Low-priority tickets account for 1,500 of 3,000 total tickets (50%), while 59 tickets overall remain unresolved. The dashboard shows that critical tickets resolve only about 2–3 hours faster than low-priority tickets. Recommendation: Review whether service-level agreements (SLAs) for critical tickets should be tightened further, given the currently narrow difference in resolution time</w:t>
      </w:r>
    </w:p>
    <w:p w14:paraId="1E45BA79" w14:textId="1B3CECB1" w:rsidR="00E12317" w:rsidRDefault="00000000">
      <w:pPr>
        <w:pStyle w:val="berschrift1"/>
        <w:keepNext/>
        <w:spacing w:before="280" w:after="140"/>
      </w:pPr>
      <w:r>
        <w:t>6. Amazon Q vs. the Dashboard</w:t>
      </w:r>
      <w:r w:rsidR="001A7B46">
        <w:t xml:space="preserve"> - </w:t>
      </w:r>
      <w:r>
        <w:t>When to Use Which</w:t>
      </w:r>
    </w:p>
    <w:p w14:paraId="740F731E" w14:textId="21A9A8F3" w:rsidR="00E12317" w:rsidRDefault="00000000">
      <w:pPr>
        <w:spacing w:after="120"/>
        <w:jc w:val="both"/>
      </w:pPr>
      <w:r>
        <w:rPr>
          <w:sz w:val="21"/>
        </w:rPr>
        <w:t>Q is fastest for one-off, natural-language questions</w:t>
      </w:r>
      <w:r w:rsidR="009D5EA6">
        <w:rPr>
          <w:sz w:val="21"/>
        </w:rPr>
        <w:t>,</w:t>
      </w:r>
      <w:r>
        <w:rPr>
          <w:sz w:val="21"/>
        </w:rPr>
        <w:t xml:space="preserve"> especially rankings and comparisons</w:t>
      </w:r>
      <w:r w:rsidR="009D5EA6">
        <w:rPr>
          <w:sz w:val="21"/>
        </w:rPr>
        <w:t xml:space="preserve">, </w:t>
      </w:r>
      <w:r>
        <w:rPr>
          <w:sz w:val="21"/>
        </w:rPr>
        <w:t>and it can also reach reference material such as the company background PDF that is not represented by a dashboard visual. The dashboard remains the more reliable source for confirming exact metrics across joined tables, because the aggregation and visual context are explicit and fan-out effects are easier to spot. Recommendation for the team: use Q to explore and form a hypothesis quickly, then use the dashboard to confirm the exact numbers that go into decisions or reports.</w:t>
      </w:r>
    </w:p>
    <w:p w14:paraId="0FC04AD3" w14:textId="77777777" w:rsidR="00E12317" w:rsidRDefault="00000000">
      <w:pPr>
        <w:pStyle w:val="berschrift1"/>
        <w:keepNext/>
        <w:spacing w:before="280" w:after="140"/>
      </w:pPr>
      <w:r>
        <w:lastRenderedPageBreak/>
        <w:t>7. Supporting Materials</w:t>
      </w:r>
    </w:p>
    <w:p w14:paraId="5F033D1E" w14:textId="77777777" w:rsidR="00E12317" w:rsidRDefault="00000000">
      <w:pPr>
        <w:pStyle w:val="Listenabsatz"/>
        <w:keepLines/>
        <w:numPr>
          <w:ilvl w:val="0"/>
          <w:numId w:val="1"/>
        </w:numPr>
        <w:spacing w:after="80"/>
      </w:pPr>
      <w:r>
        <w:rPr>
          <w:sz w:val="21"/>
        </w:rPr>
        <w:t>Verification Log - 7/7 checks matched the expected values in the data dictionary or reference documentation, supporting data completeness and consistency across the three source systems.</w:t>
      </w:r>
    </w:p>
    <w:p w14:paraId="1A4C9825" w14:textId="77777777" w:rsidR="00E12317" w:rsidRDefault="00000000">
      <w:pPr>
        <w:pStyle w:val="Listenabsatz"/>
        <w:keepLines/>
        <w:numPr>
          <w:ilvl w:val="0"/>
          <w:numId w:val="1"/>
        </w:numPr>
        <w:spacing w:after="80"/>
      </w:pPr>
      <w:r>
        <w:rPr>
          <w:sz w:val="21"/>
        </w:rPr>
        <w:t>Q Exploration Log - 5 business questions were run through the Topic and cross-checked against dashboard visuals, with 3 close matches and 2 partial matches documented and explained.</w:t>
      </w:r>
    </w:p>
    <w:p w14:paraId="07757AAB" w14:textId="77777777" w:rsidR="00E12317" w:rsidRDefault="00000000">
      <w:pPr>
        <w:pStyle w:val="Listenabsatz"/>
        <w:keepLines/>
        <w:numPr>
          <w:ilvl w:val="0"/>
          <w:numId w:val="1"/>
        </w:numPr>
        <w:spacing w:after="80"/>
      </w:pPr>
      <w:r>
        <w:rPr>
          <w:sz w:val="21"/>
        </w:rPr>
        <w:t xml:space="preserve">Published dashboard - 3 sheets (Marketing Funnel, Sales Pipeline, Customer Health) with page-level filter controls and account-level analysis in the </w:t>
      </w:r>
      <w:proofErr w:type="spellStart"/>
      <w:r>
        <w:rPr>
          <w:sz w:val="21"/>
        </w:rPr>
        <w:t>UdacityQuicksightLab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QuickSight</w:t>
      </w:r>
      <w:proofErr w:type="spellEnd"/>
      <w:r>
        <w:rPr>
          <w:sz w:val="21"/>
        </w:rPr>
        <w:t xml:space="preserve"> account.</w:t>
      </w:r>
    </w:p>
    <w:p w14:paraId="40EFA094" w14:textId="3CFA1911" w:rsidR="00E12317" w:rsidRDefault="00000000">
      <w:pPr>
        <w:pStyle w:val="Listenabsatz"/>
        <w:keepLines/>
        <w:numPr>
          <w:ilvl w:val="0"/>
          <w:numId w:val="1"/>
        </w:numPr>
        <w:spacing w:after="80"/>
      </w:pPr>
      <w:r>
        <w:rPr>
          <w:sz w:val="21"/>
        </w:rPr>
        <w:t xml:space="preserve">Annotated dashboard screenshots - 3 annotations (one per sheet), each with </w:t>
      </w:r>
      <w:r w:rsidR="001A7B46">
        <w:rPr>
          <w:sz w:val="21"/>
        </w:rPr>
        <w:t>quantified</w:t>
      </w:r>
      <w:r>
        <w:rPr>
          <w:sz w:val="21"/>
        </w:rPr>
        <w:t xml:space="preserve"> finding, business implication, and recommended action.</w:t>
      </w:r>
    </w:p>
    <w:sectPr w:rsidR="00E12317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2F3E6A"/>
    <w:multiLevelType w:val="hybridMultilevel"/>
    <w:tmpl w:val="154EC4A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94D4899"/>
    <w:multiLevelType w:val="hybridMultilevel"/>
    <w:tmpl w:val="B0CAB0B2"/>
    <w:lvl w:ilvl="0" w:tplc="254C20DC">
      <w:start w:val="1"/>
      <w:numFmt w:val="bullet"/>
      <w:lvlText w:val="●"/>
      <w:lvlJc w:val="left"/>
      <w:pPr>
        <w:ind w:left="720" w:hanging="360"/>
      </w:pPr>
    </w:lvl>
    <w:lvl w:ilvl="1" w:tplc="16E82A5E">
      <w:start w:val="1"/>
      <w:numFmt w:val="bullet"/>
      <w:lvlText w:val="○"/>
      <w:lvlJc w:val="left"/>
      <w:pPr>
        <w:ind w:left="1440" w:hanging="360"/>
      </w:pPr>
    </w:lvl>
    <w:lvl w:ilvl="2" w:tplc="C2443900">
      <w:start w:val="1"/>
      <w:numFmt w:val="bullet"/>
      <w:lvlText w:val="■"/>
      <w:lvlJc w:val="left"/>
      <w:pPr>
        <w:ind w:left="2160" w:hanging="360"/>
      </w:pPr>
    </w:lvl>
    <w:lvl w:ilvl="3" w:tplc="20F4B4A0">
      <w:start w:val="1"/>
      <w:numFmt w:val="bullet"/>
      <w:lvlText w:val="●"/>
      <w:lvlJc w:val="left"/>
      <w:pPr>
        <w:ind w:left="2880" w:hanging="360"/>
      </w:pPr>
    </w:lvl>
    <w:lvl w:ilvl="4" w:tplc="E6B2DEDE">
      <w:start w:val="1"/>
      <w:numFmt w:val="bullet"/>
      <w:lvlText w:val="○"/>
      <w:lvlJc w:val="left"/>
      <w:pPr>
        <w:ind w:left="3600" w:hanging="360"/>
      </w:pPr>
    </w:lvl>
    <w:lvl w:ilvl="5" w:tplc="A942C91A">
      <w:start w:val="1"/>
      <w:numFmt w:val="bullet"/>
      <w:lvlText w:val="■"/>
      <w:lvlJc w:val="left"/>
      <w:pPr>
        <w:ind w:left="4320" w:hanging="360"/>
      </w:pPr>
    </w:lvl>
    <w:lvl w:ilvl="6" w:tplc="9DB8445C">
      <w:start w:val="1"/>
      <w:numFmt w:val="bullet"/>
      <w:lvlText w:val="●"/>
      <w:lvlJc w:val="left"/>
      <w:pPr>
        <w:ind w:left="5040" w:hanging="360"/>
      </w:pPr>
    </w:lvl>
    <w:lvl w:ilvl="7" w:tplc="C80286EE">
      <w:start w:val="1"/>
      <w:numFmt w:val="bullet"/>
      <w:lvlText w:val="●"/>
      <w:lvlJc w:val="left"/>
      <w:pPr>
        <w:ind w:left="5760" w:hanging="360"/>
      </w:pPr>
    </w:lvl>
    <w:lvl w:ilvl="8" w:tplc="D03E7A38">
      <w:start w:val="1"/>
      <w:numFmt w:val="bullet"/>
      <w:lvlText w:val="●"/>
      <w:lvlJc w:val="left"/>
      <w:pPr>
        <w:ind w:left="6480" w:hanging="360"/>
      </w:pPr>
    </w:lvl>
  </w:abstractNum>
  <w:num w:numId="1" w16cid:durableId="1371110223">
    <w:abstractNumId w:val="1"/>
    <w:lvlOverride w:ilvl="0">
      <w:startOverride w:val="1"/>
    </w:lvlOverride>
  </w:num>
  <w:num w:numId="2" w16cid:durableId="40029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12317"/>
    <w:rsid w:val="001926FF"/>
    <w:rsid w:val="001A7B46"/>
    <w:rsid w:val="006437FF"/>
    <w:rsid w:val="00950208"/>
    <w:rsid w:val="009639DD"/>
    <w:rsid w:val="009D5EA6"/>
    <w:rsid w:val="00A47E20"/>
    <w:rsid w:val="00D46F78"/>
    <w:rsid w:val="00E123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1BA3BA"/>
  <w15:docId w15:val="{17948AD0-0C23-48B5-893B-4089BD0ADF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berschrift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berschrift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berschrift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berschrift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berschrift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Titel">
    <w:name w:val="Title"/>
    <w:uiPriority w:val="10"/>
    <w:qFormat/>
    <w:rPr>
      <w:sz w:val="56"/>
      <w:szCs w:val="56"/>
    </w:rPr>
  </w:style>
  <w:style w:type="paragraph" w:customStyle="1" w:styleId="Fett1">
    <w:name w:val="Fett1"/>
    <w:qFormat/>
    <w:rPr>
      <w:b/>
      <w:bCs/>
    </w:rPr>
  </w:style>
  <w:style w:type="paragraph" w:styleId="Listenabsatz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unotenzeichen">
    <w:name w:val="footnote reference"/>
    <w:uiPriority w:val="99"/>
    <w:semiHidden/>
    <w:unhideWhenUsed/>
    <w:rPr>
      <w:vertAlign w:val="superscript"/>
    </w:rPr>
  </w:style>
  <w:style w:type="paragraph" w:styleId="Funotentext">
    <w:name w:val="footnote text"/>
    <w:link w:val="FunotentextZchn"/>
    <w:uiPriority w:val="99"/>
    <w:semiHidden/>
    <w:unhideWhenUsed/>
  </w:style>
  <w:style w:type="character" w:customStyle="1" w:styleId="FunotentextZchn">
    <w:name w:val="Fußnotentext Zchn"/>
    <w:link w:val="Funotentext"/>
    <w:uiPriority w:val="99"/>
    <w:semiHidden/>
    <w:unhideWhenUsed/>
    <w:rPr>
      <w:sz w:val="20"/>
      <w:szCs w:val="20"/>
    </w:rPr>
  </w:style>
  <w:style w:type="character" w:styleId="Endnotenzeichen">
    <w:name w:val="endnote reference"/>
    <w:uiPriority w:val="99"/>
    <w:semiHidden/>
    <w:unhideWhenUsed/>
    <w:rPr>
      <w:vertAlign w:val="superscript"/>
    </w:rPr>
  </w:style>
  <w:style w:type="paragraph" w:styleId="Endnotentext">
    <w:name w:val="endnote text"/>
    <w:link w:val="EndnotentextZchn"/>
    <w:uiPriority w:val="99"/>
    <w:semiHidden/>
    <w:unhideWhenUsed/>
  </w:style>
  <w:style w:type="character" w:customStyle="1" w:styleId="EndnotentextZchn">
    <w:name w:val="Endnotentext Zchn"/>
    <w:link w:val="Endnotentext"/>
    <w:uiPriority w:val="99"/>
    <w:semiHidden/>
    <w:unhideWhenUsed/>
    <w:rPr>
      <w:sz w:val="20"/>
      <w:szCs w:val="20"/>
    </w:rPr>
  </w:style>
  <w:style w:type="table" w:styleId="Gitternetztabelle4Akzent4">
    <w:name w:val="Grid Table 4 Accent 4"/>
    <w:basedOn w:val="NormaleTabelle"/>
    <w:uiPriority w:val="49"/>
    <w:rsid w:val="009D5EA6"/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F9ED5" w:themeColor="accent4"/>
          <w:left w:val="single" w:sz="4" w:space="0" w:color="0F9ED5" w:themeColor="accent4"/>
          <w:bottom w:val="single" w:sz="4" w:space="0" w:color="0F9ED5" w:themeColor="accent4"/>
          <w:right w:val="single" w:sz="4" w:space="0" w:color="0F9ED5" w:themeColor="accent4"/>
          <w:insideH w:val="nil"/>
          <w:insideV w:val="nil"/>
        </w:tcBorders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Gitternetztabelle4Akzent1">
    <w:name w:val="Grid Table 4 Accent 1"/>
    <w:basedOn w:val="NormaleTabelle"/>
    <w:uiPriority w:val="49"/>
    <w:rsid w:val="009D5EA6"/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56082" w:themeColor="accent1"/>
          <w:left w:val="single" w:sz="4" w:space="0" w:color="156082" w:themeColor="accent1"/>
          <w:bottom w:val="single" w:sz="4" w:space="0" w:color="156082" w:themeColor="accent1"/>
          <w:right w:val="single" w:sz="4" w:space="0" w:color="156082" w:themeColor="accent1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Gitternetztabelle1hellAkzent1">
    <w:name w:val="Grid Table 1 Light Accent 1"/>
    <w:basedOn w:val="NormaleTabelle"/>
    <w:uiPriority w:val="46"/>
    <w:rsid w:val="001A7B46"/>
    <w:tblPr>
      <w:tblStyleRowBandSize w:val="1"/>
      <w:tblStyleColBandSize w:val="1"/>
      <w:tblBorders>
        <w:top w:val="single" w:sz="4" w:space="0" w:color="83CAEB" w:themeColor="accent1" w:themeTint="66"/>
        <w:left w:val="single" w:sz="4" w:space="0" w:color="83CAEB" w:themeColor="accent1" w:themeTint="66"/>
        <w:bottom w:val="single" w:sz="4" w:space="0" w:color="83CAEB" w:themeColor="accent1" w:themeTint="66"/>
        <w:right w:val="single" w:sz="4" w:space="0" w:color="83CAEB" w:themeColor="accent1" w:themeTint="66"/>
        <w:insideH w:val="single" w:sz="4" w:space="0" w:color="83CAEB" w:themeColor="accent1" w:themeTint="66"/>
        <w:insideV w:val="single" w:sz="4" w:space="0" w:color="83CAEB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1239</Words>
  <Characters>7065</Characters>
  <Application>Microsoft Office Word</Application>
  <DocSecurity>0</DocSecurity>
  <Lines>58</Lines>
  <Paragraphs>16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Ecem Bökenheide</cp:lastModifiedBy>
  <cp:revision>4</cp:revision>
  <dcterms:created xsi:type="dcterms:W3CDTF">2026-09-13T18:13:00Z</dcterms:created>
  <dcterms:modified xsi:type="dcterms:W3CDTF">2026-09-13T20:37:00Z</dcterms:modified>
</cp:coreProperties>
</file>