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54C" w:rsidRDefault="00864034" w:rsidP="001E1C1C">
      <w:pPr>
        <w:jc w:val="both"/>
        <w:rPr>
          <w:highlight w:val="yellow"/>
        </w:rPr>
      </w:pPr>
      <w:r w:rsidRPr="00864034">
        <w:rPr>
          <w:highlight w:val="yellow"/>
        </w:rPr>
        <w:t xml:space="preserve">Un post general sobre </w:t>
      </w:r>
      <w:proofErr w:type="spellStart"/>
      <w:r w:rsidRPr="00864034">
        <w:rPr>
          <w:highlight w:val="yellow"/>
        </w:rPr>
        <w:t>gender</w:t>
      </w:r>
      <w:proofErr w:type="spellEnd"/>
      <w:r w:rsidRPr="00864034">
        <w:rPr>
          <w:highlight w:val="yellow"/>
        </w:rPr>
        <w:t xml:space="preserve"> gap y luego uno para cada aspecto.</w:t>
      </w:r>
    </w:p>
    <w:p w:rsidR="0030354C" w:rsidRDefault="0030354C" w:rsidP="0030354C">
      <w:pPr>
        <w:jc w:val="both"/>
        <w:rPr>
          <w:highlight w:val="yellow"/>
        </w:rPr>
      </w:pPr>
      <w:proofErr w:type="spellStart"/>
      <w:r>
        <w:rPr>
          <w:highlight w:val="yellow"/>
        </w:rPr>
        <w:t>Gender</w:t>
      </w:r>
      <w:proofErr w:type="spellEnd"/>
      <w:r>
        <w:rPr>
          <w:highlight w:val="yellow"/>
        </w:rPr>
        <w:t xml:space="preserve"> gap: cuestiones generales</w:t>
      </w:r>
    </w:p>
    <w:p w:rsidR="0030354C" w:rsidRDefault="0030354C" w:rsidP="0030354C">
      <w:pPr>
        <w:jc w:val="both"/>
        <w:rPr>
          <w:highlight w:val="yellow"/>
        </w:rPr>
      </w:pPr>
      <w:proofErr w:type="spellStart"/>
      <w:r>
        <w:rPr>
          <w:highlight w:val="yellow"/>
        </w:rPr>
        <w:t>Gender</w:t>
      </w:r>
      <w:proofErr w:type="spellEnd"/>
      <w:r>
        <w:rPr>
          <w:highlight w:val="yellow"/>
        </w:rPr>
        <w:t xml:space="preserve"> gap y actividad económica</w:t>
      </w:r>
    </w:p>
    <w:p w:rsidR="0030354C" w:rsidRDefault="0030354C" w:rsidP="0030354C">
      <w:pPr>
        <w:jc w:val="both"/>
        <w:rPr>
          <w:highlight w:val="yellow"/>
        </w:rPr>
      </w:pPr>
      <w:proofErr w:type="spellStart"/>
      <w:r>
        <w:rPr>
          <w:highlight w:val="yellow"/>
        </w:rPr>
        <w:t>Gender</w:t>
      </w:r>
      <w:proofErr w:type="spellEnd"/>
      <w:r>
        <w:rPr>
          <w:highlight w:val="yellow"/>
        </w:rPr>
        <w:t xml:space="preserve"> gap y desocupación…</w:t>
      </w:r>
    </w:p>
    <w:p w:rsidR="00F74C8B" w:rsidRDefault="00864034" w:rsidP="001E1C1C">
      <w:pPr>
        <w:jc w:val="both"/>
        <w:rPr>
          <w:highlight w:val="yellow"/>
        </w:rPr>
      </w:pPr>
      <w:r>
        <w:rPr>
          <w:highlight w:val="yellow"/>
        </w:rPr>
        <w:t xml:space="preserve">Armar las series temporales 2004-2018 de cada indicador por sexo y nivel educativo. </w:t>
      </w:r>
      <w:proofErr w:type="gramStart"/>
      <w:r w:rsidR="003C673E">
        <w:rPr>
          <w:highlight w:val="yellow"/>
        </w:rPr>
        <w:t>cad</w:t>
      </w:r>
      <w:r w:rsidR="00F74C8B">
        <w:rPr>
          <w:highlight w:val="yellow"/>
        </w:rPr>
        <w:t>a</w:t>
      </w:r>
      <w:proofErr w:type="gramEnd"/>
      <w:r w:rsidR="00F74C8B">
        <w:rPr>
          <w:highlight w:val="yellow"/>
        </w:rPr>
        <w:t xml:space="preserve"> matriz de datos tiene columnas: año, sexo, </w:t>
      </w:r>
      <w:r w:rsidR="0030354C">
        <w:rPr>
          <w:highlight w:val="yellow"/>
        </w:rPr>
        <w:t xml:space="preserve">y </w:t>
      </w:r>
      <w:r w:rsidR="003C673E">
        <w:rPr>
          <w:highlight w:val="yellow"/>
        </w:rPr>
        <w:t>un indicador</w:t>
      </w:r>
      <w:r w:rsidR="00F74C8B">
        <w:rPr>
          <w:highlight w:val="yellow"/>
        </w:rPr>
        <w:t xml:space="preserve">… El gráfico tiene eje horizontal año, vertical: indicador, tamaño: nivel de educación, color: sexo. O bien </w:t>
      </w:r>
      <w:proofErr w:type="spellStart"/>
      <w:r w:rsidR="00F74C8B">
        <w:rPr>
          <w:highlight w:val="yellow"/>
        </w:rPr>
        <w:t>faceteado</w:t>
      </w:r>
      <w:proofErr w:type="spellEnd"/>
      <w:r w:rsidR="00F74C8B">
        <w:rPr>
          <w:highlight w:val="yellow"/>
        </w:rPr>
        <w:t xml:space="preserve"> por sexo</w:t>
      </w:r>
    </w:p>
    <w:p w:rsidR="00864034" w:rsidRDefault="00864034" w:rsidP="001E1C1C">
      <w:pPr>
        <w:jc w:val="both"/>
      </w:pPr>
      <w:r w:rsidRPr="00864034">
        <w:rPr>
          <w:highlight w:val="yellow"/>
        </w:rPr>
        <w:t xml:space="preserve">El conjunto constituye el </w:t>
      </w:r>
      <w:proofErr w:type="spellStart"/>
      <w:r w:rsidRPr="00864034">
        <w:rPr>
          <w:highlight w:val="yellow"/>
        </w:rPr>
        <w:t>paper</w:t>
      </w:r>
      <w:proofErr w:type="spellEnd"/>
      <w:r w:rsidRPr="00864034">
        <w:rPr>
          <w:highlight w:val="yellow"/>
        </w:rPr>
        <w:t xml:space="preserve"> que solo contiene las series</w:t>
      </w:r>
    </w:p>
    <w:p w:rsidR="005F6736" w:rsidRDefault="00B970D4" w:rsidP="001E1C1C">
      <w:pPr>
        <w:jc w:val="both"/>
      </w:pPr>
      <w:r>
        <w:t xml:space="preserve">Suele llamarse </w:t>
      </w:r>
      <w:r w:rsidR="00810FD8" w:rsidRPr="007E008E">
        <w:t>brecha de género (</w:t>
      </w:r>
      <w:proofErr w:type="spellStart"/>
      <w:r w:rsidR="00810FD8" w:rsidRPr="007E008E">
        <w:rPr>
          <w:i/>
        </w:rPr>
        <w:t>gender</w:t>
      </w:r>
      <w:proofErr w:type="spellEnd"/>
      <w:r w:rsidR="00810FD8" w:rsidRPr="007E008E">
        <w:rPr>
          <w:i/>
        </w:rPr>
        <w:t xml:space="preserve"> gap</w:t>
      </w:r>
      <w:r w:rsidR="00810FD8" w:rsidRPr="007E008E">
        <w:t xml:space="preserve">) a la </w:t>
      </w:r>
      <w:r w:rsidR="00864767">
        <w:t xml:space="preserve">desventaja de </w:t>
      </w:r>
      <w:r w:rsidR="00864767" w:rsidRPr="007E008E">
        <w:t xml:space="preserve">mujeres </w:t>
      </w:r>
      <w:r w:rsidR="00864767">
        <w:t xml:space="preserve">frente a </w:t>
      </w:r>
      <w:r w:rsidR="008125D9">
        <w:t>hombres</w:t>
      </w:r>
      <w:r w:rsidR="00810FD8" w:rsidRPr="007E008E">
        <w:t xml:space="preserve">, que aparece en </w:t>
      </w:r>
      <w:r w:rsidR="007E008E">
        <w:t xml:space="preserve">referencia a </w:t>
      </w:r>
      <w:r w:rsidR="00810FD8" w:rsidRPr="007E008E">
        <w:t>logros sociales, políticos, intelectuales, culturales o económicos</w:t>
      </w:r>
      <w:r w:rsidR="00810FD8" w:rsidRPr="007E008E">
        <w:rPr>
          <w:rFonts w:cs="Arial"/>
          <w:color w:val="222222"/>
          <w:shd w:val="clear" w:color="auto" w:fill="FFFFFF"/>
        </w:rPr>
        <w:t>.</w:t>
      </w:r>
      <w:r w:rsidR="00FB0E8E">
        <w:rPr>
          <w:rFonts w:cs="Arial"/>
          <w:color w:val="222222"/>
          <w:shd w:val="clear" w:color="auto" w:fill="FFFFFF"/>
        </w:rPr>
        <w:t xml:space="preserve"> </w:t>
      </w:r>
      <w:r w:rsidR="00FE75E4" w:rsidRPr="007E008E">
        <w:rPr>
          <w:rFonts w:cs="Arial"/>
          <w:color w:val="222222"/>
          <w:shd w:val="clear" w:color="auto" w:fill="FFFFFF"/>
        </w:rPr>
        <w:t>Sus consecuencias implican que las mujeres es</w:t>
      </w:r>
      <w:r w:rsidR="00FE75E4">
        <w:rPr>
          <w:rFonts w:cs="Arial"/>
          <w:color w:val="222222"/>
          <w:shd w:val="clear" w:color="auto" w:fill="FFFFFF"/>
        </w:rPr>
        <w:t xml:space="preserve">tán en </w:t>
      </w:r>
      <w:r w:rsidR="00864767">
        <w:rPr>
          <w:rFonts w:cs="Arial"/>
          <w:color w:val="222222"/>
          <w:shd w:val="clear" w:color="auto" w:fill="FFFFFF"/>
        </w:rPr>
        <w:t xml:space="preserve">inferioridad </w:t>
      </w:r>
      <w:r w:rsidR="00FE75E4">
        <w:rPr>
          <w:rFonts w:cs="Arial"/>
          <w:color w:val="222222"/>
          <w:shd w:val="clear" w:color="auto" w:fill="FFFFFF"/>
        </w:rPr>
        <w:t>respecto de l</w:t>
      </w:r>
      <w:r w:rsidR="00FE75E4" w:rsidRPr="007E008E">
        <w:rPr>
          <w:rFonts w:cs="Arial"/>
          <w:color w:val="222222"/>
          <w:shd w:val="clear" w:color="auto" w:fill="FFFFFF"/>
        </w:rPr>
        <w:t>o</w:t>
      </w:r>
      <w:r w:rsidR="00FE75E4">
        <w:rPr>
          <w:rFonts w:cs="Arial"/>
          <w:color w:val="222222"/>
          <w:shd w:val="clear" w:color="auto" w:fill="FFFFFF"/>
        </w:rPr>
        <w:t>s</w:t>
      </w:r>
      <w:r w:rsidR="00FE75E4" w:rsidRPr="007E008E">
        <w:rPr>
          <w:rFonts w:cs="Arial"/>
          <w:color w:val="222222"/>
          <w:shd w:val="clear" w:color="auto" w:fill="FFFFFF"/>
        </w:rPr>
        <w:t xml:space="preserve"> h</w:t>
      </w:r>
      <w:r w:rsidR="00FE75E4">
        <w:rPr>
          <w:rFonts w:cs="Arial"/>
          <w:color w:val="222222"/>
          <w:shd w:val="clear" w:color="auto" w:fill="FFFFFF"/>
        </w:rPr>
        <w:t>o</w:t>
      </w:r>
      <w:r w:rsidR="00FE75E4" w:rsidRPr="007E008E">
        <w:rPr>
          <w:rFonts w:cs="Arial"/>
          <w:color w:val="222222"/>
          <w:shd w:val="clear" w:color="auto" w:fill="FFFFFF"/>
        </w:rPr>
        <w:t xml:space="preserve">mbres en </w:t>
      </w:r>
      <w:r w:rsidR="00FE75E4">
        <w:rPr>
          <w:rFonts w:cs="Arial"/>
          <w:color w:val="222222"/>
          <w:shd w:val="clear" w:color="auto" w:fill="FFFFFF"/>
        </w:rPr>
        <w:t>cuanto a</w:t>
      </w:r>
      <w:r w:rsidR="00FE75E4" w:rsidRPr="007E008E">
        <w:rPr>
          <w:rFonts w:cs="Arial"/>
          <w:color w:val="222222"/>
          <w:shd w:val="clear" w:color="auto" w:fill="FFFFFF"/>
        </w:rPr>
        <w:t xml:space="preserve"> retribución, posibilidades de ascenso al interior de las organizaciones, acceso a cargos de d</w:t>
      </w:r>
      <w:r w:rsidR="00FE75E4">
        <w:rPr>
          <w:rFonts w:cs="Arial"/>
          <w:color w:val="222222"/>
          <w:shd w:val="clear" w:color="auto" w:fill="FFFFFF"/>
        </w:rPr>
        <w:t xml:space="preserve">ecisión. </w:t>
      </w:r>
      <w:r w:rsidR="0035431A">
        <w:rPr>
          <w:rFonts w:cs="Arial"/>
          <w:color w:val="222222"/>
          <w:shd w:val="clear" w:color="auto" w:fill="FFFFFF"/>
        </w:rPr>
        <w:t xml:space="preserve">El </w:t>
      </w:r>
      <w:r w:rsidR="00FE75E4">
        <w:rPr>
          <w:rFonts w:cs="Arial"/>
          <w:color w:val="222222"/>
          <w:shd w:val="clear" w:color="auto" w:fill="FFFFFF"/>
        </w:rPr>
        <w:t xml:space="preserve">“techo de cristal” </w:t>
      </w:r>
      <w:r w:rsidR="0035431A">
        <w:rPr>
          <w:rFonts w:cs="Arial"/>
          <w:color w:val="222222"/>
          <w:shd w:val="clear" w:color="auto" w:fill="FFFFFF"/>
        </w:rPr>
        <w:t>es la</w:t>
      </w:r>
      <w:r w:rsidR="00FE75E4" w:rsidRPr="00FE75E4">
        <w:rPr>
          <w:rFonts w:cs="Arial"/>
          <w:color w:val="222222"/>
          <w:shd w:val="clear" w:color="auto" w:fill="FFFFFF"/>
        </w:rPr>
        <w:t xml:space="preserve"> barrera</w:t>
      </w:r>
      <w:r w:rsidR="0035431A">
        <w:rPr>
          <w:rFonts w:cs="Arial"/>
          <w:color w:val="222222"/>
          <w:shd w:val="clear" w:color="auto" w:fill="FFFFFF"/>
        </w:rPr>
        <w:t xml:space="preserve"> invisible</w:t>
      </w:r>
      <w:r w:rsidR="00FE75E4" w:rsidRPr="00FE75E4">
        <w:rPr>
          <w:rFonts w:cs="Arial"/>
          <w:color w:val="222222"/>
          <w:shd w:val="clear" w:color="auto" w:fill="FFFFFF"/>
        </w:rPr>
        <w:t xml:space="preserve"> que encuentran las mujeres </w:t>
      </w:r>
      <w:r w:rsidR="00FE75E4">
        <w:rPr>
          <w:rFonts w:cs="Arial"/>
          <w:color w:val="222222"/>
          <w:shd w:val="clear" w:color="auto" w:fill="FFFFFF"/>
        </w:rPr>
        <w:t xml:space="preserve">para  avanzar </w:t>
      </w:r>
      <w:r w:rsidR="00FE75E4" w:rsidRPr="00FE75E4">
        <w:rPr>
          <w:rFonts w:cs="Arial"/>
          <w:color w:val="222222"/>
          <w:shd w:val="clear" w:color="auto" w:fill="FFFFFF"/>
        </w:rPr>
        <w:t xml:space="preserve">en </w:t>
      </w:r>
      <w:r w:rsidR="00FE75E4">
        <w:rPr>
          <w:rFonts w:cs="Arial"/>
          <w:color w:val="222222"/>
          <w:shd w:val="clear" w:color="auto" w:fill="FFFFFF"/>
        </w:rPr>
        <w:t>la</w:t>
      </w:r>
      <w:r w:rsidR="00FE75E4" w:rsidRPr="00FE75E4">
        <w:rPr>
          <w:rFonts w:cs="Arial"/>
          <w:color w:val="222222"/>
          <w:shd w:val="clear" w:color="auto" w:fill="FFFFFF"/>
        </w:rPr>
        <w:t xml:space="preserve"> carrera profesional </w:t>
      </w:r>
      <w:r w:rsidR="00FE75E4">
        <w:rPr>
          <w:rFonts w:cs="Arial"/>
          <w:color w:val="222222"/>
          <w:shd w:val="clear" w:color="auto" w:fill="FFFFFF"/>
        </w:rPr>
        <w:t xml:space="preserve">y </w:t>
      </w:r>
      <w:r w:rsidR="00FE75E4" w:rsidRPr="00FE75E4">
        <w:rPr>
          <w:rFonts w:cs="Arial"/>
          <w:color w:val="222222"/>
          <w:shd w:val="clear" w:color="auto" w:fill="FFFFFF"/>
        </w:rPr>
        <w:t>progresa</w:t>
      </w:r>
      <w:r w:rsidR="00FE75E4">
        <w:rPr>
          <w:rFonts w:cs="Arial"/>
          <w:color w:val="222222"/>
          <w:shd w:val="clear" w:color="auto" w:fill="FFFFFF"/>
        </w:rPr>
        <w:t>r</w:t>
      </w:r>
      <w:r w:rsidR="00FE75E4" w:rsidRPr="00FE75E4">
        <w:rPr>
          <w:rFonts w:cs="Arial"/>
          <w:color w:val="222222"/>
          <w:shd w:val="clear" w:color="auto" w:fill="FFFFFF"/>
        </w:rPr>
        <w:t xml:space="preserve"> hacia puestos de responsabilidad.</w:t>
      </w:r>
      <w:r w:rsidR="00C548F8">
        <w:rPr>
          <w:rFonts w:cs="Arial"/>
          <w:color w:val="222222"/>
          <w:shd w:val="clear" w:color="auto" w:fill="FFFFFF"/>
        </w:rPr>
        <w:t xml:space="preserve"> El efecto no </w:t>
      </w:r>
      <w:r w:rsidR="0035431A">
        <w:rPr>
          <w:rFonts w:cs="Arial"/>
          <w:color w:val="222222"/>
          <w:shd w:val="clear" w:color="auto" w:fill="FFFFFF"/>
        </w:rPr>
        <w:t xml:space="preserve">es exclusivo del </w:t>
      </w:r>
      <w:r w:rsidR="00C548F8">
        <w:rPr>
          <w:rFonts w:cs="Arial"/>
          <w:color w:val="222222"/>
          <w:shd w:val="clear" w:color="auto" w:fill="FFFFFF"/>
        </w:rPr>
        <w:t xml:space="preserve">género, </w:t>
      </w:r>
      <w:r w:rsidR="0035431A">
        <w:rPr>
          <w:rFonts w:cs="Arial"/>
          <w:color w:val="222222"/>
          <w:shd w:val="clear" w:color="auto" w:fill="FFFFFF"/>
        </w:rPr>
        <w:t xml:space="preserve">también vale </w:t>
      </w:r>
      <w:r w:rsidR="00C548F8">
        <w:rPr>
          <w:rFonts w:cs="Arial"/>
          <w:color w:val="222222"/>
          <w:shd w:val="clear" w:color="auto" w:fill="FFFFFF"/>
        </w:rPr>
        <w:t xml:space="preserve">para diferencias étnicas y religiosas, y pone el acento en </w:t>
      </w:r>
      <w:r w:rsidR="00A837B3">
        <w:rPr>
          <w:rFonts w:cs="Arial"/>
          <w:color w:val="222222"/>
          <w:shd w:val="clear" w:color="auto" w:fill="FFFFFF"/>
        </w:rPr>
        <w:t xml:space="preserve">que </w:t>
      </w:r>
      <w:r w:rsidR="00C548F8">
        <w:rPr>
          <w:rFonts w:cs="Arial"/>
          <w:color w:val="222222"/>
          <w:shd w:val="clear" w:color="auto" w:fill="FFFFFF"/>
        </w:rPr>
        <w:t xml:space="preserve">las dificultades de ascenso </w:t>
      </w:r>
      <w:r w:rsidR="0035431A">
        <w:rPr>
          <w:rFonts w:cs="Arial"/>
          <w:color w:val="222222"/>
          <w:shd w:val="clear" w:color="auto" w:fill="FFFFFF"/>
        </w:rPr>
        <w:t xml:space="preserve">para algunos grupos </w:t>
      </w:r>
      <w:r w:rsidR="00C548F8">
        <w:rPr>
          <w:rFonts w:cs="Arial"/>
          <w:color w:val="222222"/>
          <w:shd w:val="clear" w:color="auto" w:fill="FFFFFF"/>
        </w:rPr>
        <w:t xml:space="preserve">van haciéndose mayores a medida que se avanza en la carrera </w:t>
      </w:r>
      <w:r w:rsidR="00577CEB">
        <w:rPr>
          <w:rFonts w:cs="Arial"/>
          <w:color w:val="222222"/>
          <w:shd w:val="clear" w:color="auto" w:fill="FFFFFF"/>
        </w:rPr>
        <w:fldChar w:fldCharType="begin" w:fldLock="1"/>
      </w:r>
      <w:r w:rsidR="00EF67FB">
        <w:rPr>
          <w:rFonts w:cs="Arial"/>
          <w:color w:val="222222"/>
          <w:shd w:val="clear" w:color="auto" w:fill="FFFFFF"/>
        </w:rPr>
        <w:instrText>ADDIN CSL_CITATION {"citationItems":[{"id":"ITEM-1","itemData":{"DOI":"10.1353/sof.2001.0091","ISSN":"0037-7732","author":[{"dropping-particle":"","family":"Cotter","given":"D. A.","non-dropping-particle":"","parse-names":false,"suffix":""},{"dropping-particle":"","family":"Hermsen","given":"J. M.","non-dropping-particle":"","parse-names":false,"suffix":""},{"dropping-particle":"","family":"Ovadia","given":"S.","non-dropping-particle":"","parse-names":false,"suffix":""},{"dropping-particle":"","family":"Vanneman","given":"R.","non-dropping-particle":"","parse-names":false,"suffix":""}],"container-title":"Social Forces","id":"ITEM-1","issue":"2","issued":{"date-parts":[["2001","12","1"]]},"page":"655-681","publisher":"Oxford University Press","title":"The Glass Ceiling Effect","type":"article-journal","volume":"80"},"uris":["http://www.mendeley.com/documents/?uuid=657f57bd-5bdc-3a3b-a3b3-be1aba4e2f1f"]}],"mendeley":{"formattedCitation":"(Cotter, Hermsen, Ovadia, &amp; Vanneman, 2001)","plainTextFormattedCitation":"(Cotter, Hermsen, Ovadia, &amp; Vanneman, 2001)","previouslyFormattedCitation":"(Cotter, Hermsen, Ovadia, &amp; Vanneman, 2001)"},"properties":{"noteIndex":0},"schema":"https://github.com/citation-style-language/schema/raw/master/csl-citation.json"}</w:instrText>
      </w:r>
      <w:r w:rsidR="00577CEB">
        <w:rPr>
          <w:rFonts w:cs="Arial"/>
          <w:color w:val="222222"/>
          <w:shd w:val="clear" w:color="auto" w:fill="FFFFFF"/>
        </w:rPr>
        <w:fldChar w:fldCharType="separate"/>
      </w:r>
      <w:r w:rsidR="00D270E8" w:rsidRPr="00D270E8">
        <w:rPr>
          <w:rFonts w:cs="Arial"/>
          <w:noProof/>
          <w:color w:val="222222"/>
          <w:shd w:val="clear" w:color="auto" w:fill="FFFFFF"/>
        </w:rPr>
        <w:t>(Cotter, Hermsen, Ovadia, &amp; Vanneman, 2001)</w:t>
      </w:r>
      <w:r w:rsidR="00577CEB">
        <w:rPr>
          <w:rFonts w:cs="Arial"/>
          <w:color w:val="222222"/>
          <w:shd w:val="clear" w:color="auto" w:fill="FFFFFF"/>
        </w:rPr>
        <w:fldChar w:fldCharType="end"/>
      </w:r>
      <w:r w:rsidR="00C548F8">
        <w:rPr>
          <w:rFonts w:cs="Arial"/>
          <w:color w:val="222222"/>
          <w:shd w:val="clear" w:color="auto" w:fill="FFFFFF"/>
        </w:rPr>
        <w:t xml:space="preserve">. </w:t>
      </w:r>
      <w:r w:rsidR="0035431A">
        <w:rPr>
          <w:rFonts w:cs="Arial"/>
          <w:color w:val="222222"/>
          <w:shd w:val="clear" w:color="auto" w:fill="FFFFFF"/>
        </w:rPr>
        <w:t>L</w:t>
      </w:r>
      <w:r w:rsidR="005F6736">
        <w:rPr>
          <w:rFonts w:cs="Arial"/>
          <w:color w:val="222222"/>
          <w:shd w:val="clear" w:color="auto" w:fill="FFFFFF"/>
        </w:rPr>
        <w:t xml:space="preserve">os límites para el acceso de mujeres a determinados segmentos del mercado laboral, se conoce como </w:t>
      </w:r>
      <w:r w:rsidR="00FE75E4">
        <w:t>“paredes de cristal”</w:t>
      </w:r>
      <w:r w:rsidR="005F6736">
        <w:t xml:space="preserve">. Este efecto </w:t>
      </w:r>
      <w:r w:rsidR="00864767">
        <w:t xml:space="preserve">de segregación ocupacional </w:t>
      </w:r>
      <w:r w:rsidR="005F6736">
        <w:t xml:space="preserve">depende del grado de segmentación laboral por género que haya en diferentes economías </w:t>
      </w:r>
      <w:r w:rsidR="00577CEB">
        <w:fldChar w:fldCharType="begin" w:fldLock="1"/>
      </w:r>
      <w:r w:rsidR="00EF67FB">
        <w:instrText>ADDIN CSL_CITATION {"citationItems":[{"id":"ITEM-1","itemData":{"DOI":"10.2307/3109950","ISSN":"00333352","abstract":"Is gender-based occupational segregation in U.S. municipal bureaucracies related to the policy functions of municipal departments? Employing a large, previously unavailable data set obtained from the U.S. Equal Opportunity Commission the authors investigate gender-based municipal employment patterns in discrete functional policy areas. The authors draw on Lowi's (1985) conceptual framework by arguing that the structures, processes, and relationships associated with different policy types will affect personnel practices in municipal government bureaucracies. An examination of administrative and professional positions in U.S. cities from 1985 through 1993 indicates that even though cities have achieved gender balance in redistributive functions, women are severely underrepresented in distributive and regulatory agencies. Because salaries in redistributive agencies are, on average, lower than those in distributive and regulatory agencies, the authors argue that occupational segregation is associated with salary inequities. Although the authors uncover some evidence for the erosion of glass walls in distributive and regulatory agencies, the pace of change has been slow.","author":[{"dropping-particle":"","family":"Miller","given":"Will","non-dropping-particle":"","parse-names":false,"suffix":""},{"dropping-particle":"","family":"Kerr","given":"Brinck","non-dropping-particle":"","parse-names":false,"suffix":""},{"dropping-particle":"","family":"Reid","given":"Margaret","non-dropping-particle":"","parse-names":false,"suffix":""}],"container-title":"Public Administration Review","id":"ITEM-1","issue":"3","issued":{"date-parts":[["1999","5"]]},"page":"218","publisher":"WileyAmerican Society for Public Administration","title":"A National Study of Gender-Based Occupational Segregation in Municipal Bureaucracies: Persistence of Glass Walls?","type":"article-journal","volume":"59"},"uris":["http://www.mendeley.com/documents/?uuid=e704d8fd-ce1a-38bb-8beb-1b4f174fcfad"]}],"mendeley":{"formattedCitation":"(Miller, Kerr, &amp; Reid, 1999)","plainTextFormattedCitation":"(Miller, Kerr, &amp; Reid, 1999)","previouslyFormattedCitation":"(Miller, Kerr, &amp; Reid, 1999)"},"properties":{"noteIndex":0},"schema":"https://github.com/citation-style-language/schema/raw/master/csl-citation.json"}</w:instrText>
      </w:r>
      <w:r w:rsidR="00577CEB">
        <w:fldChar w:fldCharType="separate"/>
      </w:r>
      <w:r w:rsidR="00D270E8" w:rsidRPr="00D270E8">
        <w:rPr>
          <w:noProof/>
        </w:rPr>
        <w:t>(Miller, Kerr, &amp; Reid, 1999)</w:t>
      </w:r>
      <w:r w:rsidR="00577CEB">
        <w:fldChar w:fldCharType="end"/>
      </w:r>
      <w:r w:rsidR="00864767">
        <w:t xml:space="preserve"> y reconoce variaciones culturales</w:t>
      </w:r>
      <w:r w:rsidR="005F6736">
        <w:t>.</w:t>
      </w:r>
      <w:r w:rsidR="00B9546D">
        <w:t xml:space="preserve"> Las expresiones se refieren a los límites que tendría la movilidad laboral, tanto en sentido horizontal —entre diferentes ocupaciones—, como vertical —hacia puestos de mayor jerarquía—.</w:t>
      </w:r>
    </w:p>
    <w:p w:rsidR="005B2159" w:rsidRDefault="00FB0E8E" w:rsidP="001E1C1C">
      <w:pPr>
        <w:jc w:val="both"/>
      </w:pPr>
      <w:r>
        <w:rPr>
          <w:rFonts w:cs="Arial"/>
          <w:color w:val="222222"/>
          <w:shd w:val="clear" w:color="auto" w:fill="FFFFFF"/>
        </w:rPr>
        <w:t xml:space="preserve">En la actualidad, los movimientos feministas </w:t>
      </w:r>
      <w:r w:rsidR="00BA4AE0">
        <w:rPr>
          <w:rFonts w:cs="Arial"/>
          <w:color w:val="222222"/>
          <w:shd w:val="clear" w:color="auto" w:fill="FFFFFF"/>
        </w:rPr>
        <w:t>van</w:t>
      </w:r>
      <w:r>
        <w:rPr>
          <w:rFonts w:cs="Arial"/>
          <w:color w:val="222222"/>
          <w:shd w:val="clear" w:color="auto" w:fill="FFFFFF"/>
        </w:rPr>
        <w:t xml:space="preserve"> logrando quebrar barreras y modificar conductas</w:t>
      </w:r>
      <w:r w:rsidR="0035431A">
        <w:rPr>
          <w:rFonts w:cs="Arial"/>
          <w:color w:val="222222"/>
          <w:shd w:val="clear" w:color="auto" w:fill="FFFFFF"/>
        </w:rPr>
        <w:t>, el</w:t>
      </w:r>
      <w:r w:rsidR="003C2EE2">
        <w:rPr>
          <w:rFonts w:cs="Arial"/>
          <w:color w:val="222222"/>
          <w:shd w:val="clear" w:color="auto" w:fill="FFFFFF"/>
        </w:rPr>
        <w:t xml:space="preserve"> </w:t>
      </w:r>
      <w:r w:rsidR="00CB1354">
        <w:t xml:space="preserve">avance </w:t>
      </w:r>
      <w:r w:rsidR="0035431A">
        <w:t xml:space="preserve">hacia la </w:t>
      </w:r>
      <w:r w:rsidR="00CB1354">
        <w:t>igualdad de derechos y oportunidades</w:t>
      </w:r>
      <w:r w:rsidR="00F9334B">
        <w:t xml:space="preserve"> es lento y conlleva conflictos y luchas, </w:t>
      </w:r>
      <w:r w:rsidR="00DE7CC2">
        <w:t xml:space="preserve">porque </w:t>
      </w:r>
      <w:r w:rsidR="00F9334B">
        <w:t xml:space="preserve">es </w:t>
      </w:r>
      <w:r w:rsidR="00CB1354">
        <w:t>un cambio cultural</w:t>
      </w:r>
      <w:r w:rsidR="00DE7CC2">
        <w:t xml:space="preserve"> que </w:t>
      </w:r>
      <w:r w:rsidR="000C1CEC">
        <w:t xml:space="preserve">impregna </w:t>
      </w:r>
      <w:r w:rsidR="00DE7CC2">
        <w:t xml:space="preserve">todas las relaciones interpersonales. </w:t>
      </w:r>
      <w:r w:rsidR="00256B22">
        <w:t>L</w:t>
      </w:r>
      <w:r w:rsidR="00CB1354">
        <w:t>a</w:t>
      </w:r>
      <w:r w:rsidR="00034FD1">
        <w:t xml:space="preserve">s resistencias </w:t>
      </w:r>
      <w:r w:rsidR="00864767">
        <w:t>se levantan</w:t>
      </w:r>
      <w:r w:rsidR="00034FD1">
        <w:t xml:space="preserve"> contra amenazas a un estado de cosas que perduró por siglos; la </w:t>
      </w:r>
      <w:r w:rsidR="00CB1354">
        <w:t xml:space="preserve">pérdida de privilegios de los varones se combina con </w:t>
      </w:r>
      <w:r w:rsidR="00B9546D">
        <w:t>el cuestionamiento a</w:t>
      </w:r>
      <w:r w:rsidR="00CB1354">
        <w:t xml:space="preserve"> creencias </w:t>
      </w:r>
      <w:r w:rsidR="00B9546D">
        <w:t xml:space="preserve">prevalecientes </w:t>
      </w:r>
      <w:r w:rsidR="003C2EE2">
        <w:t xml:space="preserve">tanto </w:t>
      </w:r>
      <w:r w:rsidR="00B9546D">
        <w:t xml:space="preserve">entre </w:t>
      </w:r>
      <w:r w:rsidR="000C1CEC">
        <w:t>varones</w:t>
      </w:r>
      <w:r w:rsidR="003C2EE2">
        <w:t xml:space="preserve"> como </w:t>
      </w:r>
      <w:r w:rsidR="00B9546D">
        <w:t xml:space="preserve">entre </w:t>
      </w:r>
      <w:r w:rsidR="003C2EE2">
        <w:t>mujeres</w:t>
      </w:r>
      <w:r w:rsidR="000C1CEC">
        <w:t>.</w:t>
      </w:r>
      <w:r w:rsidR="00256B22">
        <w:t xml:space="preserve"> </w:t>
      </w:r>
      <w:r w:rsidR="00A837B3">
        <w:t>Los</w:t>
      </w:r>
      <w:r w:rsidR="003C2EE2">
        <w:t xml:space="preserve"> cambios se perciben,</w:t>
      </w:r>
      <w:r w:rsidR="00A837B3">
        <w:t xml:space="preserve"> pero son difíciles de evaluar en su extensión y profundidad.</w:t>
      </w:r>
      <w:r w:rsidR="003C2EE2">
        <w:t xml:space="preserve"> Además, los procedimientos para dar cuenta del estado y de las tendencias en el tiempo, difieren según los organismos que los diseñan y según las fuentes de datos a las que apelan.</w:t>
      </w:r>
    </w:p>
    <w:p w:rsidR="007E008E" w:rsidRDefault="00A837B3" w:rsidP="001E1C1C">
      <w:pPr>
        <w:jc w:val="both"/>
      </w:pPr>
      <w:r>
        <w:t>L</w:t>
      </w:r>
      <w:r w:rsidR="005B2159">
        <w:t>a literatura sobre la brecha de género suele centrarse en algunos emergentes visibles y objetivables</w:t>
      </w:r>
      <w:r w:rsidR="00F25DE4">
        <w:t xml:space="preserve">, </w:t>
      </w:r>
      <w:r w:rsidR="000C1CEC">
        <w:t xml:space="preserve">en torno a cuatro </w:t>
      </w:r>
      <w:r w:rsidR="00F25DE4">
        <w:t>dimensiones</w:t>
      </w:r>
      <w:r w:rsidR="005B2159">
        <w:t>: acceso a salud</w:t>
      </w:r>
      <w:r w:rsidR="002C4A68">
        <w:t xml:space="preserve"> </w:t>
      </w:r>
      <w:r w:rsidR="00577CEB">
        <w:fldChar w:fldCharType="begin" w:fldLock="1"/>
      </w:r>
      <w:r w:rsidR="00EF67FB">
        <w:instrText>ADDIN CSL_CITATION {"citationItems":[{"id":"ITEM-1","itemData":{"DOI":"10.1016/J.SOCSCIMED.2013.08.028","ISSN":"0277-9536","abstract":"Multiple studies have found that women report being in worse health despite living longer. Gender gaps vary cross-nationally, but relatively little is known about the causes of comparative differences. Existing literature is inconclusive as to whether gender gaps in health are smaller in more gender equal societies. We analyze gender gaps in self-rated health (SRH) and limiting longstanding illness (LLI) with five waves of European Social Survey data for 191,104 respondents from 28 countries. We use means, odds ratios, logistic regressions, and multilevel random slopes logistic regressions. Gender gaps in subjective health vary visibly across Europe. In many countries (especially in Eastern and Southern Europe), women report distinctly worse health, while in others (such as Estonia, Finland, and Great Britain) there are small or no differences. Logistic regressions ran separately for each country revealed that individual-level socioeconomic and demographic variables explain a majority of these gaps in some countries, but contribute little to their understanding in most countries. In yet other countries, men had worse health when these variables were controlled for. Cross-national variation in the gender gaps exists after accounting for individual-level factors. Against expectations, the remaining gaps are not systematically related to societal-level gender inequality in the multilevel analyses. Our findings stress persistent cross-national variability in gender gaps in health and call for further analysis.","author":[{"dropping-particle":"","family":"Dahlin","given":"Johanna","non-dropping-particle":"","parse-names":false,"suffix":""},{"dropping-particle":"","family":"Härkönen","given":"Juho","non-dropping-particle":"","parse-names":false,"suffix":""}],"container-title":"Social Science &amp; Medicine","id":"ITEM-1","issued":{"date-parts":[["2013","12","1"]]},"page":"24-28","publisher":"Pergamon","title":"Cross-national differences in the gender gap in subjective health in Europe: Does country-level gender equality matter?","type":"article-journal","volume":"98"},"uris":["http://www.mendeley.com/documents/?uuid=c06a8a9b-16f9-324c-8024-9d7241fcb776"]}],"mendeley":{"formattedCitation":"(Dahlin &amp; Härkönen, 2013)","plainTextFormattedCitation":"(Dahlin &amp; Härkönen, 2013)","previouslyFormattedCitation":"(Dahlin &amp; Härkönen, 2013)"},"properties":{"noteIndex":0},"schema":"https://github.com/citation-style-language/schema/raw/master/csl-citation.json"}</w:instrText>
      </w:r>
      <w:r w:rsidR="00577CEB">
        <w:fldChar w:fldCharType="separate"/>
      </w:r>
      <w:r w:rsidR="00D270E8" w:rsidRPr="00D270E8">
        <w:rPr>
          <w:noProof/>
        </w:rPr>
        <w:t>(Dahlin &amp; Härkönen, 2013)</w:t>
      </w:r>
      <w:r w:rsidR="00577CEB">
        <w:fldChar w:fldCharType="end"/>
      </w:r>
      <w:r w:rsidR="005B2159">
        <w:t>, educación</w:t>
      </w:r>
      <w:r w:rsidR="00B17038">
        <w:t xml:space="preserve"> </w:t>
      </w:r>
      <w:r w:rsidR="00577CEB">
        <w:fldChar w:fldCharType="begin" w:fldLock="1"/>
      </w:r>
      <w:r w:rsidR="00EF67FB">
        <w:instrText>ADDIN CSL_CITATION {"citationItems":[{"id":"ITEM-1","itemData":{"DOI":"10.1146/annurev-soc-073117-041215","ISSN":"0360-0572","abstract":"Although men tended to receive more education than women in the past, the gender gap in education has reversed in recent decades in most Western and many non-Western countries. We review the literature about the implications for union formation, assortative mating, the division of paid and unpaid work, and union stability in Western countries. The bulk of the evidence points to a narrowing of gender differences in mate preferences and declining aversion to female status-dominant relationships. Couples in which wives have more education than their husbands now outnumber those in which husbands have more. Although such marriages were more unstable in the past, existing studies indicate that this is no longer true. In addition, recent studies show less evidence of gender display in housework when wives have higher status than their husbands. Despite these shifts, other research documents the continuing influence of the breadwinner-homemaker model of marriage.","author":[{"dropping-particle":"","family":"Bavel","given":"Jan","non-dropping-particle":"Van","parse-names":false,"suffix":""},{"dropping-particle":"","family":"Schwartz","given":"Christine R.","non-dropping-particle":"","parse-names":false,"suffix":""},{"dropping-particle":"","family":"Esteve","given":"Albert","non-dropping-particle":"","parse-names":false,"suffix":""}],"container-title":"Annual Review of Sociology","id":"ITEM-1","issue":"1","issued":{"date-parts":[["2018","7","30"]]},"page":"341-360","publisher":" Annual Reviews ","title":"The Reversal of the Gender Gap in Education and Its Consequences for Family Life","type":"article-journal","volume":"44"},"uris":["http://www.mendeley.com/documents/?uuid=5256799b-4a34-34a1-905e-0eb96f9b6c38"]}],"mendeley":{"formattedCitation":"(Van Bavel, Schwartz, &amp; Esteve, 2018)","plainTextFormattedCitation":"(Van Bavel, Schwartz, &amp; Esteve, 2018)","previouslyFormattedCitation":"(Van Bavel, Schwartz, &amp; Esteve, 2018)"},"properties":{"noteIndex":0},"schema":"https://github.com/citation-style-language/schema/raw/master/csl-citation.json"}</w:instrText>
      </w:r>
      <w:r w:rsidR="00577CEB">
        <w:fldChar w:fldCharType="separate"/>
      </w:r>
      <w:r w:rsidR="00D270E8" w:rsidRPr="00D270E8">
        <w:rPr>
          <w:noProof/>
        </w:rPr>
        <w:t>(Van Bavel, Schwartz, &amp; Esteve, 2018)</w:t>
      </w:r>
      <w:r w:rsidR="00577CEB">
        <w:fldChar w:fldCharType="end"/>
      </w:r>
      <w:r w:rsidR="005B2159">
        <w:t xml:space="preserve">, logros económicos </w:t>
      </w:r>
      <w:r w:rsidR="00577CEB">
        <w:fldChar w:fldCharType="begin" w:fldLock="1"/>
      </w:r>
      <w:r w:rsidR="00EF67FB">
        <w:instrText>ADDIN CSL_CITATION {"citationItems":[{"id":"ITEM-1","itemData":{"DOI":"10.1257/000282803321947254","ISSN":"0002-8282","author":[{"dropping-particle":"","family":"O'Neill","given":"June","non-dropping-particle":"","parse-names":false,"suffix":""}],"container-title":"American Economic Review","id":"ITEM-1","issue":"2","issued":{"date-parts":[["2003","4"]]},"page":"309-314","title":"The Gender Gap in Wages, circa 2000","type":"article-journal","volume":"93"},"uris":["http://www.mendeley.com/documents/?uuid=cf025ccd-4929-3902-b962-4c529e79f672"]}],"mendeley":{"formattedCitation":"(O’Neill, 2003)","plainTextFormattedCitation":"(O’Neill, 2003)","previouslyFormattedCitation":"(O’Neill, 2003)"},"properties":{"noteIndex":0},"schema":"https://github.com/citation-style-language/schema/raw/master/csl-citation.json"}</w:instrText>
      </w:r>
      <w:r w:rsidR="00577CEB">
        <w:fldChar w:fldCharType="separate"/>
      </w:r>
      <w:r w:rsidR="00D270E8" w:rsidRPr="00D270E8">
        <w:rPr>
          <w:noProof/>
        </w:rPr>
        <w:t>(O’Neill, 2003)</w:t>
      </w:r>
      <w:r w:rsidR="00577CEB">
        <w:fldChar w:fldCharType="end"/>
      </w:r>
      <w:r w:rsidR="002C4A68">
        <w:t xml:space="preserve"> </w:t>
      </w:r>
      <w:r w:rsidR="005B2159">
        <w:t>y participación política</w:t>
      </w:r>
      <w:r w:rsidR="008F4E7A">
        <w:t xml:space="preserve"> </w:t>
      </w:r>
      <w:r w:rsidR="00577CEB">
        <w:fldChar w:fldCharType="begin" w:fldLock="1"/>
      </w:r>
      <w:r w:rsidR="00EF67FB">
        <w:instrText>ADDIN CSL_CITATION {"citationItems":[{"id":"ITEM-1","itemData":{"DOI":"10.1080/21565503.2016.1207548","ISSN":"2156-5503","abstract":"ABSTRACTThis analysis challenges the notion that women’s representation does not influence gender gaps in political participation in cross-national studies by arguing that women’s representation should be measured differently. Using the Comparative Study of Electoral Systems, the paper demonstrates that long-term effects of women’s representation are more important than short-term measures in understanding gender gaps in a variety of political activities. The length of time since women have gained access to the political system explains gender gaps to a greater extent than the presence of women in the legislature and cabinet at one point in time. Additionally, when women’s representation is measured by the presence of women politicians in cabinet, findings show that the conclusions of previous work on women’s representation and political behavior may not extend beyond the US case. Finally, this study demonstrates that the type of political activities matter when analyzing the effect of women’s representation.","author":[{"dropping-particle":"","family":"Beauregard","given":"Katrine","non-dropping-particle":"","parse-names":false,"suffix":""}],"container-title":"Politics, Groups, and Identities","id":"ITEM-1","issue":"2","issued":{"date-parts":[["2018","4","3"]]},"page":"237-263","publisher":"Routledge","title":"Women’s representation and gender gaps in political participation: do time and success matter in a cross-national perspective?","type":"article-journal","volume":"6"},"uris":["http://www.mendeley.com/documents/?uuid=2ebb6682-8464-3682-951f-6baea2dfb6bd"]},{"id":"ITEM-2","itemData":{"DOI":"10.1093/sp/jxx008","ISSN":"1072-4745","author":[{"dropping-particle":"","family":"Sartori","given":"Laura","non-dropping-particle":"","parse-names":false,"suffix":""},{"dropping-particle":"","family":"Tuorto","given":"Dario","non-dropping-particle":"","parse-names":false,"suffix":""},{"dropping-particle":"","family":"Ghigi","given":"Rossella","non-dropping-particle":"","parse-names":false,"suffix":""}],"container-title":"Social Politics: International Studies in Gender, State &amp; Society","id":"ITEM-2","issue":"3","issued":{"date-parts":[["2017","9","1"]]},"page":"221-247","publisher":"Oxford University Press","title":"The Social Roots of the Gender Gap in Political Participation: The Role of Situational and Cultural Constraints in Italy","type":"article-journal","volume":"24"},"uris":["http://www.mendeley.com/documents/?uuid=c280af6e-753a-3b90-9e7e-6dab425499ec"]}],"mendeley":{"formattedCitation":"(Beauregard, 2018; Sartori, Tuorto, &amp; Ghigi, 2017)","plainTextFormattedCitation":"(Beauregard, 2018; Sartori, Tuorto, &amp; Ghigi, 2017)","previouslyFormattedCitation":"(Beauregard, 2018; Sartori, Tuorto, &amp; Ghigi, 2017)"},"properties":{"noteIndex":0},"schema":"https://github.com/citation-style-language/schema/raw/master/csl-citation.json"}</w:instrText>
      </w:r>
      <w:r w:rsidR="00577CEB">
        <w:fldChar w:fldCharType="separate"/>
      </w:r>
      <w:r w:rsidR="00D270E8" w:rsidRPr="00D270E8">
        <w:rPr>
          <w:noProof/>
        </w:rPr>
        <w:t>(Beauregard, 2018; Sartori, Tuorto, &amp; Ghigi, 2017)</w:t>
      </w:r>
      <w:r w:rsidR="00577CEB">
        <w:fldChar w:fldCharType="end"/>
      </w:r>
      <w:r w:rsidR="005B2159">
        <w:t>.</w:t>
      </w:r>
    </w:p>
    <w:p w:rsidR="00F25DE4" w:rsidRDefault="00F9334B" w:rsidP="001E1C1C">
      <w:pPr>
        <w:jc w:val="both"/>
      </w:pPr>
      <w:r>
        <w:t xml:space="preserve">En los siguientes </w:t>
      </w:r>
      <w:proofErr w:type="spellStart"/>
      <w:r>
        <w:t>posts</w:t>
      </w:r>
      <w:proofErr w:type="spellEnd"/>
      <w:r>
        <w:t xml:space="preserve"> vamos a tratar de mirar de cerca, a la luz de los datos disponibles, </w:t>
      </w:r>
      <w:r w:rsidR="003C2EE2">
        <w:t xml:space="preserve">la inserción laboral diferenciada por sexos y </w:t>
      </w:r>
      <w:r>
        <w:t>observar</w:t>
      </w:r>
      <w:r w:rsidR="003C2EE2">
        <w:t xml:space="preserve"> </w:t>
      </w:r>
      <w:r>
        <w:t xml:space="preserve">algunos elementos </w:t>
      </w:r>
      <w:r w:rsidR="003C2EE2">
        <w:t xml:space="preserve">que </w:t>
      </w:r>
      <w:r>
        <w:t>podrían</w:t>
      </w:r>
      <w:r w:rsidR="003C2EE2">
        <w:t xml:space="preserve"> incidir sobre las diferencias de salario que perciben varones y mujeres en Argentina.</w:t>
      </w:r>
    </w:p>
    <w:p w:rsidR="00440A1D" w:rsidRDefault="00146B69" w:rsidP="00440A1D">
      <w:pPr>
        <w:jc w:val="both"/>
      </w:pPr>
      <w:r>
        <w:lastRenderedPageBreak/>
        <w:t>El primer aspecto a observar es la presencia en el mundo del trabajo</w:t>
      </w:r>
      <w:r w:rsidR="00440A1D">
        <w:t xml:space="preserve">, para lo que antes conviene tener una definición del mismo. En Argentina, el INDEC </w:t>
      </w:r>
      <w:r w:rsidR="00440A1D">
        <w:t>ent</w:t>
      </w:r>
      <w:r w:rsidR="00440A1D">
        <w:t xml:space="preserve">iende el trabajo </w:t>
      </w:r>
      <w:r w:rsidR="00440A1D">
        <w:t>como una actividad que genera bienes o</w:t>
      </w:r>
      <w:r w:rsidR="00440A1D">
        <w:t xml:space="preserve"> </w:t>
      </w:r>
      <w:r w:rsidR="00440A1D">
        <w:t>servicios para el mercado</w:t>
      </w:r>
      <w:r w:rsidR="00440A1D">
        <w:t>, definición que excluye el trabajo familiar no remunerado: las tareas domésticas</w:t>
      </w:r>
      <w:r>
        <w:t xml:space="preserve">. </w:t>
      </w:r>
      <w:bookmarkStart w:id="0" w:name="_GoBack"/>
      <w:bookmarkEnd w:id="0"/>
      <w:r w:rsidR="003A74DA" w:rsidRPr="003A74DA">
        <w:rPr>
          <w:highlight w:val="yellow"/>
        </w:rPr>
        <w:t xml:space="preserve">VER GLOSARIO ILO EN </w:t>
      </w:r>
      <w:proofErr w:type="spellStart"/>
      <w:r w:rsidR="003A74DA" w:rsidRPr="003A74DA">
        <w:rPr>
          <w:highlight w:val="yellow"/>
        </w:rPr>
        <w:t>pdf</w:t>
      </w:r>
      <w:proofErr w:type="spellEnd"/>
      <w:r w:rsidR="003A74DA">
        <w:t xml:space="preserve"> </w:t>
      </w:r>
      <w:r w:rsidR="00440A1D">
        <w:t>Hay que recurrir a organismos de estadística para conocer las definiciones porque son ellos los que producen los datos que van a permitir saber si las mujeres tienen una posición desfavorecida y si esa brecha está estancada en el tiempo o sigue una tendencia hacia mejorar o empeorar.</w:t>
      </w:r>
    </w:p>
    <w:p w:rsidR="00F9334B" w:rsidRDefault="00440A1D" w:rsidP="00440A1D">
      <w:pPr>
        <w:jc w:val="both"/>
      </w:pPr>
      <w:r>
        <w:t xml:space="preserve">Con esa definición de actividad económica, la siguiente </w:t>
      </w:r>
      <w:r w:rsidR="00F9334B">
        <w:t>es la serie de las tasas de actividad de varones y mujeres en el período 2005 – 2018:</w:t>
      </w:r>
    </w:p>
    <w:p w:rsidR="00F9334B" w:rsidRDefault="00F9334B" w:rsidP="001E1C1C">
      <w:pPr>
        <w:jc w:val="both"/>
      </w:pPr>
    </w:p>
    <w:p w:rsidR="003C2EE2" w:rsidRDefault="003C2EE2" w:rsidP="001E1C1C">
      <w:pPr>
        <w:jc w:val="both"/>
      </w:pPr>
    </w:p>
    <w:p w:rsidR="00FE75E4" w:rsidRPr="007E008E" w:rsidRDefault="00FE75E4" w:rsidP="001E1C1C">
      <w:pPr>
        <w:jc w:val="both"/>
      </w:pPr>
      <w:r>
        <w:t>Antecedentes</w:t>
      </w:r>
    </w:p>
    <w:p w:rsidR="00135940" w:rsidRDefault="00135940" w:rsidP="001E1C1C">
      <w:pPr>
        <w:jc w:val="both"/>
      </w:pPr>
      <w:r w:rsidRPr="007E008E">
        <w:rPr>
          <w:lang w:val="es-ES"/>
        </w:rPr>
        <w:t>E</w:t>
      </w:r>
      <w:r w:rsidR="00B76384" w:rsidRPr="007E008E">
        <w:rPr>
          <w:lang w:val="es-ES"/>
        </w:rPr>
        <w:t>n términos de evaluación del acceso diferencial a bienes y derechos por parte de hombres y mujeres, e</w:t>
      </w:r>
      <w:r w:rsidRPr="007E008E">
        <w:rPr>
          <w:lang w:val="es-ES"/>
        </w:rPr>
        <w:t>l Foro Económico Mundial</w:t>
      </w:r>
      <w:r w:rsidRPr="007E008E">
        <w:t xml:space="preserve"> publica regularmente el </w:t>
      </w:r>
      <w:r w:rsidRPr="007E008E">
        <w:rPr>
          <w:i/>
          <w:lang w:val="es-ES"/>
        </w:rPr>
        <w:t>Informe de la Brecha Global de Género</w:t>
      </w:r>
      <w:r w:rsidR="009D009D">
        <w:rPr>
          <w:i/>
          <w:lang w:val="es-ES"/>
        </w:rPr>
        <w:t xml:space="preserve"> </w:t>
      </w:r>
      <w:r w:rsidR="00577CEB">
        <w:rPr>
          <w:i/>
          <w:lang w:val="es-ES"/>
        </w:rPr>
        <w:fldChar w:fldCharType="begin" w:fldLock="1"/>
      </w:r>
      <w:r w:rsidR="00EF67FB">
        <w:rPr>
          <w:i/>
          <w:lang w:val="es-ES"/>
        </w:rPr>
        <w:instrText>ADDIN CSL_CITATION {"citationItems":[{"id":"ITEM-1","itemData":{"author":[{"dropping-particle":"","family":"WEF","given":"","non-dropping-particle":"","parse-names":false,"suffix":""}],"id":"ITEM-1","issued":{"date-parts":[["2017"]]},"number-of-pages":"361","publisher-place":"Ginebra","title":"The Global Gender Gap Report 2017 Insight Report","type":"report"},"uris":["http://www.mendeley.com/documents/?uuid=c085f42a-25ec-3dba-a4e6-d1cc8cf966ac"]}],"mendeley":{"formattedCitation":"(WEF, 2017)","plainTextFormattedCitation":"(WEF, 2017)","previouslyFormattedCitation":"(WEF, 2017)"},"properties":{"noteIndex":0},"schema":"https://github.com/citation-style-language/schema/raw/master/csl-citation.json"}</w:instrText>
      </w:r>
      <w:r w:rsidR="00577CEB">
        <w:rPr>
          <w:i/>
          <w:lang w:val="es-ES"/>
        </w:rPr>
        <w:fldChar w:fldCharType="separate"/>
      </w:r>
      <w:r w:rsidR="00D270E8" w:rsidRPr="00D270E8">
        <w:rPr>
          <w:noProof/>
          <w:lang w:val="es-ES"/>
        </w:rPr>
        <w:t>(WEF, 2017)</w:t>
      </w:r>
      <w:r w:rsidR="00577CEB">
        <w:rPr>
          <w:i/>
          <w:lang w:val="es-ES"/>
        </w:rPr>
        <w:fldChar w:fldCharType="end"/>
      </w:r>
      <w:r w:rsidRPr="007E008E">
        <w:t>, donde presenta los valores de</w:t>
      </w:r>
      <w:r w:rsidR="00FF28AD" w:rsidRPr="007E008E">
        <w:t xml:space="preserve"> un índice sintético </w:t>
      </w:r>
      <w:r w:rsidR="00FF28AD">
        <w:t xml:space="preserve">que mide </w:t>
      </w:r>
      <w:r>
        <w:t xml:space="preserve">cuatro </w:t>
      </w:r>
      <w:r w:rsidR="00FF28AD">
        <w:t xml:space="preserve">dimensiones </w:t>
      </w:r>
      <w:r>
        <w:t xml:space="preserve">de la diferencia por género. </w:t>
      </w:r>
      <w:r w:rsidR="00034FD1">
        <w:t>Su evalua</w:t>
      </w:r>
      <w:r w:rsidR="003C2EE2">
        <w:t>ción empírica tiene en cuenta la</w:t>
      </w:r>
      <w:r w:rsidR="00034FD1">
        <w:t xml:space="preserve">s siguientes </w:t>
      </w:r>
      <w:r w:rsidR="003C2EE2">
        <w:t xml:space="preserve">dimensiones e </w:t>
      </w:r>
      <w:r w:rsidR="00034FD1">
        <w:t>indicadores.</w:t>
      </w:r>
    </w:p>
    <w:p w:rsidR="00135940" w:rsidRDefault="00135940" w:rsidP="001E1C1C">
      <w:pPr>
        <w:jc w:val="both"/>
      </w:pPr>
      <w:r>
        <w:t>Participación y oportunidades económicas</w:t>
      </w:r>
    </w:p>
    <w:p w:rsidR="00135940" w:rsidRDefault="00135940" w:rsidP="001E1C1C">
      <w:pPr>
        <w:jc w:val="both"/>
      </w:pPr>
      <w:r>
        <w:tab/>
        <w:t>Participación laboral femenina / masculina</w:t>
      </w:r>
    </w:p>
    <w:p w:rsidR="00135940" w:rsidRDefault="00135940" w:rsidP="001E1C1C">
      <w:pPr>
        <w:jc w:val="both"/>
      </w:pPr>
      <w:r>
        <w:tab/>
        <w:t>Igualdad de salarios entre varones y mujeres por trabajos similares</w:t>
      </w:r>
    </w:p>
    <w:p w:rsidR="00135940" w:rsidRDefault="00135940" w:rsidP="001E1C1C">
      <w:pPr>
        <w:jc w:val="both"/>
      </w:pPr>
      <w:r>
        <w:tab/>
        <w:t>Ingreso estimado medio de mujeres / varones</w:t>
      </w:r>
    </w:p>
    <w:p w:rsidR="00135940" w:rsidRDefault="00135940" w:rsidP="001E1C1C">
      <w:pPr>
        <w:jc w:val="both"/>
      </w:pPr>
      <w:r>
        <w:tab/>
        <w:t>Cantidad de profesionales y técnicos mujeres / varones</w:t>
      </w:r>
    </w:p>
    <w:p w:rsidR="00135940" w:rsidRDefault="00135940" w:rsidP="001E1C1C">
      <w:pPr>
        <w:jc w:val="both"/>
      </w:pPr>
      <w:r>
        <w:t>Logro educativo</w:t>
      </w:r>
    </w:p>
    <w:p w:rsidR="00135940" w:rsidRDefault="00135940" w:rsidP="001E1C1C">
      <w:pPr>
        <w:jc w:val="both"/>
      </w:pPr>
      <w:r>
        <w:tab/>
        <w:t>Alfabetización femenina / masculina</w:t>
      </w:r>
    </w:p>
    <w:p w:rsidR="00135940" w:rsidRDefault="00135940" w:rsidP="001E1C1C">
      <w:pPr>
        <w:jc w:val="both"/>
      </w:pPr>
      <w:r>
        <w:tab/>
        <w:t>Tasa de escolarización primaria femenina / masculina</w:t>
      </w:r>
    </w:p>
    <w:p w:rsidR="00135940" w:rsidRDefault="00135940" w:rsidP="001E1C1C">
      <w:pPr>
        <w:jc w:val="both"/>
      </w:pPr>
      <w:r>
        <w:tab/>
        <w:t>Tasa de escolarización secundaria femenina / masculina</w:t>
      </w:r>
    </w:p>
    <w:p w:rsidR="00135940" w:rsidRDefault="00135940" w:rsidP="001E1C1C">
      <w:pPr>
        <w:jc w:val="both"/>
      </w:pPr>
      <w:r>
        <w:tab/>
        <w:t>Tasa de escolarización terciaria femenina / masculina</w:t>
      </w:r>
    </w:p>
    <w:p w:rsidR="00135940" w:rsidRDefault="00135940" w:rsidP="001E1C1C">
      <w:pPr>
        <w:jc w:val="both"/>
      </w:pPr>
      <w:r>
        <w:t>Salud</w:t>
      </w:r>
    </w:p>
    <w:p w:rsidR="00135940" w:rsidRDefault="00135940" w:rsidP="001E1C1C">
      <w:pPr>
        <w:jc w:val="both"/>
      </w:pPr>
      <w:r>
        <w:tab/>
        <w:t>Razón de femineidad al nacer</w:t>
      </w:r>
    </w:p>
    <w:p w:rsidR="00135940" w:rsidRDefault="00135940" w:rsidP="001E1C1C">
      <w:pPr>
        <w:jc w:val="both"/>
      </w:pPr>
      <w:r>
        <w:tab/>
        <w:t>Esperanza de vida (saludable) femenina / masculina</w:t>
      </w:r>
    </w:p>
    <w:p w:rsidR="00135940" w:rsidRDefault="00135940" w:rsidP="001E1C1C">
      <w:pPr>
        <w:jc w:val="both"/>
      </w:pPr>
      <w:r>
        <w:t>Empoderamiento político</w:t>
      </w:r>
    </w:p>
    <w:p w:rsidR="00135940" w:rsidRDefault="00135940" w:rsidP="001E1C1C">
      <w:pPr>
        <w:jc w:val="both"/>
      </w:pPr>
      <w:r>
        <w:tab/>
        <w:t>Parlamentarias / parlamentarios</w:t>
      </w:r>
    </w:p>
    <w:p w:rsidR="00135940" w:rsidRDefault="00135940" w:rsidP="001E1C1C">
      <w:pPr>
        <w:jc w:val="both"/>
      </w:pPr>
      <w:r>
        <w:tab/>
        <w:t>Ministras / ministros</w:t>
      </w:r>
    </w:p>
    <w:p w:rsidR="00135940" w:rsidRDefault="00135940" w:rsidP="001E1C1C">
      <w:pPr>
        <w:jc w:val="both"/>
      </w:pPr>
      <w:r>
        <w:tab/>
        <w:t>Cantidad de años con jefe de estado femenino en los últimos 50 años</w:t>
      </w:r>
    </w:p>
    <w:p w:rsidR="00135940" w:rsidRDefault="00135940" w:rsidP="001E1C1C">
      <w:pPr>
        <w:jc w:val="both"/>
      </w:pPr>
    </w:p>
    <w:p w:rsidR="00135940" w:rsidRDefault="00135940" w:rsidP="001E1C1C">
      <w:pPr>
        <w:jc w:val="both"/>
      </w:pPr>
      <w:r>
        <w:t>El índice que combina estos cuatro aspectos se</w:t>
      </w:r>
      <w:r w:rsidR="00A837B3">
        <w:t xml:space="preserve"> llama Índi</w:t>
      </w:r>
      <w:r w:rsidR="001253C7">
        <w:t>ce Global de Brecha de Género (</w:t>
      </w:r>
      <w:r w:rsidR="00A837B3">
        <w:t>IGBG) y</w:t>
      </w:r>
      <w:r>
        <w:t xml:space="preserve"> </w:t>
      </w:r>
      <w:r w:rsidR="001253C7">
        <w:t xml:space="preserve">se </w:t>
      </w:r>
      <w:r>
        <w:t>estandar</w:t>
      </w:r>
      <w:r w:rsidR="008125D9">
        <w:t>iza de modo que varía entre 0</w:t>
      </w:r>
      <w:r>
        <w:t xml:space="preserve"> y </w:t>
      </w:r>
      <w:r w:rsidR="008125D9">
        <w:t>100%</w:t>
      </w:r>
      <w:r>
        <w:t xml:space="preserve">. </w:t>
      </w:r>
      <w:r w:rsidR="00A837B3">
        <w:t>Su</w:t>
      </w:r>
      <w:r>
        <w:t xml:space="preserve"> valor máximo corresponde a la equidad de género</w:t>
      </w:r>
      <w:r w:rsidR="00864767">
        <w:t xml:space="preserve"> y, </w:t>
      </w:r>
      <w:r w:rsidR="0051496A">
        <w:t>cuanto más se aproxima a cero, tanto mayor es la desigualdad de género</w:t>
      </w:r>
      <w:r>
        <w:t>. Los resultados para el año 2017 son los siguientes</w:t>
      </w:r>
    </w:p>
    <w:p w:rsidR="00A120B4" w:rsidRDefault="00A120B4" w:rsidP="001E1C1C">
      <w:pPr>
        <w:jc w:val="both"/>
      </w:pPr>
    </w:p>
    <w:p w:rsidR="0051496A" w:rsidRDefault="00005C7B" w:rsidP="001E1C1C">
      <w:pPr>
        <w:jc w:val="both"/>
      </w:pPr>
      <w:r>
        <w:rPr>
          <w:noProof/>
          <w:lang w:eastAsia="es-AR"/>
        </w:rPr>
        <w:lastRenderedPageBreak/>
        <w:drawing>
          <wp:inline distT="0" distB="0" distL="0" distR="0">
            <wp:extent cx="5400675" cy="313817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sgggreport .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7B70F7" w:rsidRDefault="007B70F7" w:rsidP="001E1C1C">
      <w:pPr>
        <w:jc w:val="both"/>
      </w:pPr>
    </w:p>
    <w:p w:rsidR="007B70F7" w:rsidRDefault="007B70F7" w:rsidP="001E1C1C">
      <w:pPr>
        <w:jc w:val="both"/>
      </w:pPr>
    </w:p>
    <w:p w:rsidR="00135940" w:rsidRPr="001F165D" w:rsidRDefault="00135940" w:rsidP="001E1C1C">
      <w:pPr>
        <w:jc w:val="both"/>
        <w:rPr>
          <w:lang w:val="es-ES"/>
        </w:rPr>
      </w:pPr>
      <w:r>
        <w:t xml:space="preserve">La lectura puede facilitarse tomando </w:t>
      </w:r>
      <w:r w:rsidR="00A837B3">
        <w:t xml:space="preserve">el </w:t>
      </w:r>
      <w:r>
        <w:t>complemento</w:t>
      </w:r>
      <w:r w:rsidR="00A837B3">
        <w:t xml:space="preserve"> del IGBG</w:t>
      </w:r>
      <w:r>
        <w:t>, que evalúa la magnitud de la brecha de género</w:t>
      </w:r>
      <w:r w:rsidR="001253C7">
        <w:t>. A</w:t>
      </w:r>
      <w:r>
        <w:t>l momento del informe, existe una brecha</w:t>
      </w:r>
      <w:r w:rsidR="0051496A">
        <w:t xml:space="preserve"> global</w:t>
      </w:r>
      <w:r>
        <w:t>, según esta medida,</w:t>
      </w:r>
      <w:r w:rsidR="0051496A">
        <w:t xml:space="preserve"> de 32% entre varones y mujeres, que se reduce a 4 y 5 % respectivamente para los aspectos salud y educación, y que crece a 78 y 42% para participación política y económica.</w:t>
      </w:r>
    </w:p>
    <w:p w:rsidR="00135940" w:rsidRDefault="00135940" w:rsidP="001E1C1C">
      <w:pPr>
        <w:jc w:val="both"/>
        <w:rPr>
          <w:lang w:val="es-ES"/>
        </w:rPr>
      </w:pPr>
      <w:r w:rsidRPr="006C722C">
        <w:rPr>
          <w:lang w:val="es-ES"/>
        </w:rPr>
        <w:t xml:space="preserve">Además de mostrar los valores actuales, el informe hace una lectura retrospectiva e indica que, si bien muchos países han hecho progresos en reducir la desigualdad entre varones y mujeres,  cuando se considera la </w:t>
      </w:r>
      <w:r w:rsidR="002136DC">
        <w:rPr>
          <w:lang w:val="es-ES"/>
        </w:rPr>
        <w:t>población</w:t>
      </w:r>
      <w:r>
        <w:t xml:space="preserve"> de los 144 países evaluados, la brecha actual de 32% es levemente superior </w:t>
      </w:r>
      <w:r w:rsidR="00A837B3">
        <w:t>a</w:t>
      </w:r>
      <w:r>
        <w:t xml:space="preserve"> la del año anterior, que sería señal de un leve empeoramiento en la desigualdad</w:t>
      </w:r>
      <w:r w:rsidRPr="006C722C">
        <w:rPr>
          <w:lang w:val="es-ES"/>
        </w:rPr>
        <w:t>.</w:t>
      </w:r>
      <w:r w:rsidR="002136DC">
        <w:rPr>
          <w:lang w:val="es-ES"/>
        </w:rPr>
        <w:t xml:space="preserve"> </w:t>
      </w:r>
      <w:r w:rsidR="00A837B3">
        <w:rPr>
          <w:lang w:val="es-ES"/>
        </w:rPr>
        <w:t xml:space="preserve">La tendencia se acentúa </w:t>
      </w:r>
      <w:r w:rsidR="002136DC">
        <w:rPr>
          <w:lang w:val="es-ES"/>
        </w:rPr>
        <w:t xml:space="preserve">en el caso de la componente de participación y oportunidades económicas, para la que </w:t>
      </w:r>
      <w:r w:rsidR="00A837B3">
        <w:rPr>
          <w:lang w:val="es-ES"/>
        </w:rPr>
        <w:t xml:space="preserve">2017 </w:t>
      </w:r>
      <w:r w:rsidR="002136DC">
        <w:rPr>
          <w:lang w:val="es-ES"/>
        </w:rPr>
        <w:t>es el segundo año de desmejora y el peor valor observado desde 2008.</w:t>
      </w:r>
    </w:p>
    <w:p w:rsidR="00802937" w:rsidRPr="005774F9" w:rsidRDefault="00A837B3" w:rsidP="001E1C1C">
      <w:pPr>
        <w:jc w:val="both"/>
      </w:pPr>
      <w:r>
        <w:rPr>
          <w:lang w:val="es-ES"/>
        </w:rPr>
        <w:t xml:space="preserve">En un análisis transversal de países de Europa </w:t>
      </w:r>
      <w:r w:rsidR="00577CEB">
        <w:fldChar w:fldCharType="begin" w:fldLock="1"/>
      </w:r>
      <w:r w:rsidR="00EF67FB">
        <w:instrText>ADDIN CSL_CITATION {"citationItems":[{"id":"ITEM-1","itemData":{"URL":"https://ec.europa.eu/info/policies/justice-and-fundamental-rights/gender-equality/equal-pay/gender-pay-gap-situation-eu_en","abstract":"The gender pay gap is defined as the relative difference in the average gross earnings of women and men within the economy as a whole.","accessed":{"date-parts":[["2018","9","25"]]},"author":[{"dropping-particle":"","family":"EU","given":"","non-dropping-particle":"","parse-names":false,"suffix":""}],"container-title":"EU","id":"ITEM-1","issued":{"date-parts":[["2018"]]},"title":"The gender pay gap situation in the EU | European Commission","type":"webpage"},"uris":["http://www.mendeley.com/documents/?uuid=3e4da99a-18ee-3ee3-9dae-53d48406ccb1"]}],"mendeley":{"formattedCitation":"(EU, 2018)","plainTextFormattedCitation":"(EU, 2018)","previouslyFormattedCitation":"(EU, 2018)"},"properties":{"noteIndex":0},"schema":"https://github.com/citation-style-language/schema/raw/master/csl-citation.json"}</w:instrText>
      </w:r>
      <w:r w:rsidR="00577CEB">
        <w:fldChar w:fldCharType="separate"/>
      </w:r>
      <w:r w:rsidR="00D270E8" w:rsidRPr="00D270E8">
        <w:rPr>
          <w:noProof/>
        </w:rPr>
        <w:t>(EU, 2018)</w:t>
      </w:r>
      <w:r w:rsidR="00577CEB">
        <w:fldChar w:fldCharType="end"/>
      </w:r>
      <w:r>
        <w:rPr>
          <w:lang w:val="es-ES"/>
        </w:rPr>
        <w:t>, l</w:t>
      </w:r>
      <w:r w:rsidR="00802937">
        <w:rPr>
          <w:lang w:val="es-ES"/>
        </w:rPr>
        <w:t xml:space="preserve">a Comisión Europea </w:t>
      </w:r>
      <w:r w:rsidR="00802937">
        <w:t xml:space="preserve">indica </w:t>
      </w:r>
      <w:r w:rsidR="005774F9">
        <w:t xml:space="preserve"> </w:t>
      </w:r>
      <w:r w:rsidR="00802937">
        <w:t>que hay  diferencias considerables en la brecha salarial, que va</w:t>
      </w:r>
      <w:r w:rsidR="005774F9">
        <w:t>n</w:t>
      </w:r>
      <w:r w:rsidR="00802937">
        <w:t xml:space="preserve"> de menos del 10%</w:t>
      </w:r>
      <w:r w:rsidR="005774F9">
        <w:t xml:space="preserve"> </w:t>
      </w:r>
      <w:r w:rsidR="00802937">
        <w:t>en Eslovenia, Malta, Polonia, Italia, Luxemburgo y Rumania, a más del 20% en Hungría, Eslovaquia, República Checa, Alemania y Austria; y que llega al 30% en Estonia.</w:t>
      </w:r>
    </w:p>
    <w:p w:rsidR="005774F9" w:rsidRDefault="005774F9" w:rsidP="001E1C1C">
      <w:pPr>
        <w:jc w:val="both"/>
      </w:pPr>
      <w:r>
        <w:t xml:space="preserve">Sin embargo, y dependiendo del modo en que se mide, no toda brecha de ingresos se explica por </w:t>
      </w:r>
      <w:r w:rsidR="007C7E00">
        <w:t>acceso diferencial a derechos</w:t>
      </w:r>
      <w:r>
        <w:t>. Las cifras de EU (2018) se refieren a remuneraciones salariales y, como el informe lo indica, es alta donde hay mercados de trabajo segmentados, con especificidad de género en algunas posiciones laborales</w:t>
      </w:r>
      <w:r w:rsidR="007C7E00">
        <w:t>,</w:t>
      </w:r>
      <w:r>
        <w:t xml:space="preserve"> y también </w:t>
      </w:r>
      <w:r w:rsidR="007C7E00">
        <w:t>e</w:t>
      </w:r>
      <w:r w:rsidR="00A837B3">
        <w:t>n</w:t>
      </w:r>
      <w:r w:rsidR="007C7E00">
        <w:t xml:space="preserve"> países en que </w:t>
      </w:r>
      <w:r>
        <w:t>las mujeres tienden</w:t>
      </w:r>
      <w:r w:rsidR="007C7E00">
        <w:t>,</w:t>
      </w:r>
      <w:r>
        <w:t xml:space="preserve"> con más frecuencia que los varones</w:t>
      </w:r>
      <w:r w:rsidR="007C7E00">
        <w:t>,</w:t>
      </w:r>
      <w:r>
        <w:t xml:space="preserve"> a tomar trabajos de tiempo parcial.</w:t>
      </w:r>
      <w:r w:rsidR="00A837B3">
        <w:t xml:space="preserve"> Si bien en el </w:t>
      </w:r>
      <w:r w:rsidR="007C7E00">
        <w:t>primer caso puede tratarse de un efecto de “paredes de cristal”,</w:t>
      </w:r>
      <w:r w:rsidR="00FA0938">
        <w:t xml:space="preserve"> e</w:t>
      </w:r>
      <w:r w:rsidR="00CF4BA0">
        <w:t>l segundo puede tener origen</w:t>
      </w:r>
      <w:r w:rsidR="00864767">
        <w:t>, tanto</w:t>
      </w:r>
      <w:r w:rsidR="00CF4BA0">
        <w:t xml:space="preserve"> en elecciones de mujeres en cuanto al modo de administración de su tiempo</w:t>
      </w:r>
      <w:r w:rsidR="00864767">
        <w:t>,</w:t>
      </w:r>
      <w:r w:rsidR="001253C7">
        <w:t xml:space="preserve"> </w:t>
      </w:r>
      <w:r w:rsidR="00864767">
        <w:t xml:space="preserve">como </w:t>
      </w:r>
      <w:r w:rsidR="001253C7">
        <w:t>en una preponderancia de mujeres en puestos de trabajo flexibles</w:t>
      </w:r>
      <w:r w:rsidR="00CF4BA0">
        <w:t>.</w:t>
      </w:r>
    </w:p>
    <w:p w:rsidR="008B32AA" w:rsidRPr="003D6EBE" w:rsidRDefault="008B32AA" w:rsidP="001E1C1C">
      <w:pPr>
        <w:jc w:val="both"/>
      </w:pPr>
      <w:r>
        <w:lastRenderedPageBreak/>
        <w:t>La relación entre la segregación ocupacional y la discriminación, no es evidente y algunos estudios muestran resultados contrarios a los esperables. La segregación</w:t>
      </w:r>
      <w:r w:rsidR="00662D26">
        <w:t xml:space="preserve"> consiste en la distribución no homogénea de va rones y mujeres en el conjunto de puestos de trabajo. Hay ocupaciones que tienen alta proporción de varones, otras que son preferentemente femeninas y algunas que tienen representación equitativa de ambos sexos. </w:t>
      </w:r>
      <w:r w:rsidR="00662D26" w:rsidRPr="00662D26">
        <w:rPr>
          <w:noProof/>
        </w:rPr>
        <w:t>Blackburn &amp; Jarman</w:t>
      </w:r>
      <w:r w:rsidR="00662D26">
        <w:t xml:space="preserve"> </w:t>
      </w:r>
      <w:r w:rsidR="00577CEB">
        <w:fldChar w:fldCharType="begin" w:fldLock="1"/>
      </w:r>
      <w:r w:rsidR="00EF67FB">
        <w:instrText xml:space="preserve">ADDIN CSL_CITATION {"citationItems":[{"id":"ITEM-1","itemData":{"DOI":"10.1177/0268580906061380","abstract":"While the existence of occupational gender segregation is well known, it has been usual to see it as a reflection of women's disadvantage. However, cross-national data show that the greater the segregation, the less tends to be women's disadvantage. The solution to this puzzle entails the introduction of the two orthogonal dimensions of segregation, where only the vertical dimension measures inequality while the horizontal dimension measures difference without inequality. Furthermore, the two dimensions tend to be inversely related, with a tendency for the horizontal component to be larger and so have more effect on the resultant overall segregation; hence the inverse relation between overall segregation and inequality. The usual explanations of segregation, being focused on inequality, are inadequate. To understand the situation it is necessary to take account of the many related factors in social change, and to recognize that horizontal segregation reduces opportunities for gender discrimination within occupations. An exploratory test of the argument is conducted for the US, Canada and Britain. With pay as the vertical dimension the results are essentially as predicted. With CAMSIS, a measure of occupational advantage, a slight advantage lies with women. The test is less clear but consistent with the argument. keywords: cross-national labour trends </w:instrText>
      </w:r>
      <w:r w:rsidR="00EF67FB">
        <w:rPr>
          <w:rFonts w:ascii="MS Mincho" w:eastAsia="MS Mincho" w:hAnsi="MS Mincho" w:cs="MS Mincho" w:hint="eastAsia"/>
        </w:rPr>
        <w:instrText>✦</w:instrText>
      </w:r>
      <w:r w:rsidR="00EF67FB">
        <w:instrText xml:space="preserve"> gender inequality </w:instrText>
      </w:r>
      <w:r w:rsidR="00EF67FB">
        <w:rPr>
          <w:rFonts w:ascii="MS Mincho" w:eastAsia="MS Mincho" w:hAnsi="MS Mincho" w:cs="MS Mincho" w:hint="eastAsia"/>
        </w:rPr>
        <w:instrText>✦</w:instrText>
      </w:r>
      <w:r w:rsidR="00EF67FB">
        <w:instrText xml:space="preserve"> gender segregation </w:instrText>
      </w:r>
      <w:r w:rsidR="00EF67FB">
        <w:rPr>
          <w:rFonts w:ascii="MS Mincho" w:eastAsia="MS Mincho" w:hAnsi="MS Mincho" w:cs="MS Mincho" w:hint="eastAsia"/>
        </w:rPr>
        <w:instrText>✦</w:instrText>
      </w:r>
      <w:r w:rsidR="00EF67FB">
        <w:instrText xml:space="preserve"> occupational segregation </w:instrText>
      </w:r>
      <w:r w:rsidR="00EF67FB">
        <w:rPr>
          <w:rFonts w:ascii="MS Mincho" w:eastAsia="MS Mincho" w:hAnsi="MS Mincho" w:cs="MS Mincho" w:hint="eastAsia"/>
        </w:rPr>
        <w:instrText>✦</w:instrText>
      </w:r>
      <w:r w:rsidR="00EF67FB">
        <w:instrText xml:space="preserve"> social stratification It is well known that occupations are gendered. In all countries, there is a degree of occupational gender segregation, and in the more industrialized countries, such as those of North America and Europe, the levels are relatively high. Occupations tend to comprise disproportionately large numbers of women or of men. To be sure, segregation in a country is","author":[{"dropping-particle":"","family":"Blackburn","given":"Robert M","non-dropping-particle":"","parse-names":false,"suffix":""},{"dropping-particle":"","family":"Jarman","given":"Jennifer","non-dropping-particle":"","parse-names":false,"suffix":""}],"container-title":"International Sociology","id":"ITEM-1","issue":"2","issued":{"date-parts":[["2006"]]},"page":"289-315","title":"Gendered Occupations Exploring the Relationship between Gender Segregation and Inequality IS","type":"article-journal","volume":"21"},"uris":["http://www.mendeley.com/documents/?uuid=a69fe1fc-4a62-3f88-91b6-12d6b317920a"]}],"mendeley":{"formattedCitation":"(Blackburn &amp; Jarman, 2006)","manualFormatting":"(2006)","plainTextFormattedCitation":"(Blackburn &amp; Jarman, 2006)","previouslyFormattedCitation":"(Blackburn &amp; Jarman, 2006)"},"properties":{"noteIndex":0},"schema":"https://github.com/citation-style-language/schema/raw/master/csl-citation.json"}</w:instrText>
      </w:r>
      <w:r w:rsidR="00577CEB">
        <w:fldChar w:fldCharType="separate"/>
      </w:r>
      <w:r w:rsidR="00662D26" w:rsidRPr="00662D26">
        <w:rPr>
          <w:noProof/>
        </w:rPr>
        <w:t>(2006)</w:t>
      </w:r>
      <w:r w:rsidR="00577CEB">
        <w:fldChar w:fldCharType="end"/>
      </w:r>
      <w:r w:rsidR="00662D26">
        <w:t xml:space="preserve"> muestran que esta tendencia de varones y mujeres a ocupar diferentes espacios laborales, no se correlaciona necesariamente con desigualdades en perjuicio de las mujeres.</w:t>
      </w:r>
    </w:p>
    <w:p w:rsidR="005774F9" w:rsidRPr="008B32AA" w:rsidRDefault="008B32AA" w:rsidP="001E1C1C">
      <w:pPr>
        <w:jc w:val="both"/>
      </w:pPr>
      <w:r w:rsidRPr="008B32AA">
        <w:t xml:space="preserve">La OCDE </w:t>
      </w:r>
      <w:r w:rsidR="00577CEB">
        <w:fldChar w:fldCharType="begin" w:fldLock="1"/>
      </w:r>
      <w:r w:rsidR="00EF67FB">
        <w:instrText>ADDIN CSL_CITATION {"citationItems":[{"id":"ITEM-1","itemData":{"DOI":"10.1787/9789264179370-en","ISBN":"9789264179363","URL":"http://www.oecd-ilibrary.org/social-issues-migration-health/close-the-gender-gap-now_9789264179370-en","accessed":{"date-parts":[["2018","10","14"]]},"author":[{"dropping-particle":"","family":"OCDE","given":"","non-dropping-particle":"","parse-names":false,"suffix":""}],"id":"ITEM-1","issued":{"date-parts":[["2012","12","17"]]},"publisher":"OECD Publishing","title":"Closing the Gender Gap","type":"webpage"},"uris":["http://www.mendeley.com/documents/?uuid=4f4aac7b-3fc1-36f1-ae9c-14fd25187e48"]}],"mendeley":{"formattedCitation":"(OCDE, 2012)","manualFormatting":"(2012)","plainTextFormattedCitation":"(OCDE, 2012)","previouslyFormattedCitation":"(OCDE, 2012)"},"properties":{"noteIndex":0},"schema":"https://github.com/citation-style-language/schema/raw/master/csl-citation.json"}</w:instrText>
      </w:r>
      <w:r w:rsidR="00577CEB">
        <w:fldChar w:fldCharType="separate"/>
      </w:r>
      <w:r w:rsidRPr="008B32AA">
        <w:rPr>
          <w:noProof/>
        </w:rPr>
        <w:t>(2012)</w:t>
      </w:r>
      <w:r w:rsidR="00577CEB">
        <w:fldChar w:fldCharType="end"/>
      </w:r>
      <w:r w:rsidRPr="008B32AA">
        <w:t xml:space="preserve"> define la brecha de ingresos por género (</w:t>
      </w:r>
      <w:proofErr w:type="spellStart"/>
      <w:r w:rsidRPr="008B32AA">
        <w:t>gender</w:t>
      </w:r>
      <w:proofErr w:type="spellEnd"/>
      <w:r w:rsidRPr="008B32AA">
        <w:t xml:space="preserve"> </w:t>
      </w:r>
      <w:proofErr w:type="spellStart"/>
      <w:r w:rsidRPr="008B32AA">
        <w:t>wage</w:t>
      </w:r>
      <w:proofErr w:type="spellEnd"/>
      <w:r w:rsidRPr="008B32AA">
        <w:t xml:space="preserve"> gap) como la diferencia entre las mediana</w:t>
      </w:r>
      <w:r>
        <w:t>s</w:t>
      </w:r>
      <w:r w:rsidRPr="008B32AA">
        <w:t xml:space="preserve"> de lo</w:t>
      </w:r>
      <w:r>
        <w:t>s</w:t>
      </w:r>
      <w:r w:rsidRPr="008B32AA">
        <w:t xml:space="preserve"> </w:t>
      </w:r>
      <w:r>
        <w:t>salario</w:t>
      </w:r>
      <w:r w:rsidRPr="008B32AA">
        <w:t>s</w:t>
      </w:r>
      <w:r>
        <w:t xml:space="preserve"> de varones y mujeres, relativa a la mediana de salarios de los varones, y utiliza datos de empleados a tiempo completo y cuentapropistas</w:t>
      </w:r>
      <w:r w:rsidRPr="008B32AA">
        <w:t>.</w:t>
      </w:r>
    </w:p>
    <w:p w:rsidR="008B32AA" w:rsidRPr="008B32AA" w:rsidRDefault="008B32AA" w:rsidP="001E1C1C">
      <w:pPr>
        <w:jc w:val="both"/>
      </w:pPr>
    </w:p>
    <w:p w:rsidR="00135940" w:rsidRPr="003D6EBE" w:rsidRDefault="003D6EBE" w:rsidP="001E1C1C">
      <w:pPr>
        <w:jc w:val="both"/>
      </w:pPr>
      <w:r>
        <w:t xml:space="preserve">Debido a que la equidad entre géneros es un aspecto del equilibrio en la distribución de los bienes y los derechos (como lo serían también entre etnias, países de origen o religión), su tendencia es también una señal del rumbo </w:t>
      </w:r>
      <w:r w:rsidR="007706D2">
        <w:t xml:space="preserve">por el que discurre, en </w:t>
      </w:r>
      <w:r w:rsidR="00AE1CB1">
        <w:t>lo tangible</w:t>
      </w:r>
      <w:r w:rsidR="007706D2">
        <w:t>, la idea de igualdad de oportunidades.</w:t>
      </w:r>
      <w:r w:rsidR="00147285">
        <w:t xml:space="preserve"> Con el objetivo de aproximar la magnitud de la brecha laboral entre géneros en Argentina, e</w:t>
      </w:r>
      <w:r w:rsidR="007706D2">
        <w:t xml:space="preserve">n este trabajo se analiza, para </w:t>
      </w:r>
      <w:r w:rsidR="00AE1CB1">
        <w:t>las áreas urbanas,</w:t>
      </w:r>
      <w:r w:rsidR="007706D2">
        <w:t xml:space="preserve"> el estado y la evolución de algunos indicadores laborales en perspectiva comparada entre varones y mujeres. Si bien se limita a solo un aspecto de la brecha de género</w:t>
      </w:r>
      <w:r w:rsidR="00AE1CB1">
        <w:t xml:space="preserve"> —el económico—</w:t>
      </w:r>
      <w:r w:rsidR="007706D2">
        <w:t>, se trata de aquel que a escala global muestra el comportamiento menos auspicioso.</w:t>
      </w:r>
    </w:p>
    <w:p w:rsidR="00135940" w:rsidRPr="003D6EBE" w:rsidRDefault="00864034" w:rsidP="001E1C1C">
      <w:pPr>
        <w:jc w:val="both"/>
      </w:pPr>
      <w:r w:rsidRPr="00864034">
        <w:rPr>
          <w:highlight w:val="yellow"/>
        </w:rPr>
        <w:t xml:space="preserve">La pregunta es por la diferente inserción laboral como factor explicativo de las diferencias en los ingresos. El trabajo como mediador entre la educación y la posición social (ampliar </w:t>
      </w:r>
      <w:r>
        <w:rPr>
          <w:highlight w:val="yellow"/>
        </w:rPr>
        <w:t>b</w:t>
      </w:r>
      <w:r w:rsidRPr="00864034">
        <w:rPr>
          <w:highlight w:val="yellow"/>
        </w:rPr>
        <w:t>ibliografía sobre esta idea)</w:t>
      </w:r>
    </w:p>
    <w:p w:rsidR="007706D2" w:rsidRDefault="00B06D73" w:rsidP="001E1C1C">
      <w:pPr>
        <w:jc w:val="both"/>
      </w:pPr>
      <w:r>
        <w:t>Definiciones operacionales y m</w:t>
      </w:r>
      <w:r w:rsidR="007706D2">
        <w:t>étodos</w:t>
      </w:r>
    </w:p>
    <w:p w:rsidR="007706D2" w:rsidRDefault="007706D2" w:rsidP="001E1C1C">
      <w:pPr>
        <w:jc w:val="both"/>
      </w:pPr>
      <w:r>
        <w:t xml:space="preserve">El análisis se realiza a partir de las bases de </w:t>
      </w:r>
      <w:proofErr w:type="spellStart"/>
      <w:r>
        <w:t>microdatos</w:t>
      </w:r>
      <w:proofErr w:type="spellEnd"/>
      <w:r>
        <w:t xml:space="preserve"> de la Encuesta Permanente de Hogares (EPH) publicadas por el </w:t>
      </w:r>
      <w:r w:rsidR="00577CEB">
        <w:fldChar w:fldCharType="begin" w:fldLock="1"/>
      </w:r>
      <w:r w:rsidR="00554043">
        <w:instrText>ADDIN CSL_CITATION {"citationItems":[{"id":"ITEM-1","itemData":{"abstract":"La Encuesta Permanente de Hogares (EPH) es una encuesta de propósitos múltiples que releva información sobre hogares y personas en torno a las siguientes temáticas: situación laboral, características demográficas básicas (edad, sexo, situación conyugal, etc.), características migratorias, habitacionales, educacionales e ingresos. Más allá de su gran amplitud temática, los aspectos laborales adquieren una relevancia central. Entre los conceptos principales que permiten dar cuenta de la relación de la población con el mercado de trabajo se encuentra el de condición de actividad, categoría ocupacional, subempleo, informalidad, entre otros. El concepto de condición de actividad se ajusta a las recomendaciones internacionales vigentes 1 incorporando también los avances conceptuales realizados en dicho campo. A continuación se presentan las definiciones conceptuales y operativas de uso más frecuente: Población Económicamente Activa (PEA) o Fuerza de Trabajo: esta compuesta por todas las personas que aportan su trabajo (lo consigan o no) para producir bienes y servicios económicos, definidos según y como lo hacen los sistemas de cuentas nacionales durante un período de referencia determinado. Para la medición de este concepto, en la EPH se asume como parte de la PEA a todas las personas de 10 años y más que en un período de referencia corto tienen trabajo y aquellos que sin tenerlo están disponibles y buscan activamente un trabajo. Son parte de la PEA tanto los ocupados como los desocupados. Partiendo del concepto de trabajo entendido como una actividad que genera bienes o servicios para el mercado, se consideran Ocupadas a todas las personas que tengan cierta edad especificada (10 años o más) y que durante un período de referencia (una semana) hayan trabajado al menos una hora. Se incluye a: a) las personas que durante el período de referencia realizaron algún trabajo de al menos una hora, hayan recibido pago (en dinero o en especie) o no por dicha actividad. 2 b) las personas que tienen una ocupación pero que no estaban trabajando temporalmente durante el período de referencia y mantenían un vínculo formal con su empleo. Integran este grupo los ocupados que no trabajaron en la semana, por vacaciones, licencia por enfermedad u otros tipos de licencias, suspendidos con pago y ausentes por otras causas laborales (mal tiempo, averías mecánicas, escasez de materias primas, etc.) con límite de tiempo de retorno. Se incluyen también dentro de esta categoría de ocup…","author":[{"dropping-particle":"","family":"INDEC","given":"","non-dropping-particle":"","parse-names":false,"suffix":""}],"id":"ITEM-1","issued":{"date-parts":[["2011"]]},"number-of-pages":"6","publisher-place":"Buenos Aires","title":"Encuesta Permanente de Hogares Conceptos de Condición de Actividad, Subocupación Horaria y Categoría Ocupacional","type":"report"},"uris":["http://www.mendeley.com/documents/?uuid=00ecf7e9-2cc0-3c23-acdc-5e026f3626dd"]}],"mendeley":{"formattedCitation":"(INDEC, 2011)","manualFormatting":"INDEC (2011)","plainTextFormattedCitation":"(INDEC, 2011)","previouslyFormattedCitation":"(INDEC, 2011)"},"properties":{"noteIndex":0},"schema":"https://github.com/citation-style-language/schema/raw/master/csl-citation.json"}</w:instrText>
      </w:r>
      <w:r w:rsidR="00577CEB">
        <w:fldChar w:fldCharType="separate"/>
      </w:r>
      <w:r w:rsidR="00B9546D">
        <w:rPr>
          <w:noProof/>
        </w:rPr>
        <w:t>INDEC</w:t>
      </w:r>
      <w:r w:rsidR="00CF106A" w:rsidRPr="00CF106A">
        <w:rPr>
          <w:noProof/>
        </w:rPr>
        <w:t xml:space="preserve"> </w:t>
      </w:r>
      <w:r w:rsidR="00864767">
        <w:rPr>
          <w:noProof/>
        </w:rPr>
        <w:t>(</w:t>
      </w:r>
      <w:r w:rsidR="00CF106A" w:rsidRPr="00CF106A">
        <w:rPr>
          <w:noProof/>
        </w:rPr>
        <w:t>2011)</w:t>
      </w:r>
      <w:r w:rsidR="00577CEB">
        <w:fldChar w:fldCharType="end"/>
      </w:r>
      <w:r w:rsidR="00147285">
        <w:t>.</w:t>
      </w:r>
    </w:p>
    <w:p w:rsidR="007706D2" w:rsidRDefault="007706D2" w:rsidP="001E1C1C">
      <w:pPr>
        <w:jc w:val="both"/>
      </w:pPr>
      <w:r>
        <w:t xml:space="preserve">La EPH es una encuesta de propósitos múltiples que releva información sobre hogares y personas en torno a: situación laboral, características demográficas básicas, características migratorias, habitacionales, educacionales e ingresos. Releva muestras representativas de la población que reside en aglomerados urbanos en </w:t>
      </w:r>
      <w:r w:rsidR="00FA0938">
        <w:t>la República Argentina</w:t>
      </w:r>
      <w:r>
        <w:t xml:space="preserve">, se concentra en la descripción del mundo del trabajo y registra diferentes formas de inserción, para este trabajo interesan las siguientes. </w:t>
      </w:r>
    </w:p>
    <w:p w:rsidR="007706D2" w:rsidRDefault="007706D2" w:rsidP="001E1C1C">
      <w:pPr>
        <w:jc w:val="both"/>
      </w:pPr>
      <w:r w:rsidRPr="00EA79AB">
        <w:rPr>
          <w:b/>
        </w:rPr>
        <w:t>Población Económicamente Activa (PEA) o Fuerza de Trabajo</w:t>
      </w:r>
      <w:r w:rsidR="00A466EF">
        <w:t>:</w:t>
      </w:r>
      <w:r>
        <w:t xml:space="preserve"> todas las personas que aportan su trabajo (lo consigan o no) para producir bienes y servicios económicos durante un período de referencia determinado.</w:t>
      </w:r>
    </w:p>
    <w:p w:rsidR="007706D2" w:rsidRDefault="00A466EF" w:rsidP="001E1C1C">
      <w:pPr>
        <w:jc w:val="both"/>
      </w:pPr>
      <w:r>
        <w:rPr>
          <w:b/>
        </w:rPr>
        <w:t>Ocupado</w:t>
      </w:r>
      <w:r w:rsidR="007706D2" w:rsidRPr="00CB6163">
        <w:rPr>
          <w:b/>
        </w:rPr>
        <w:t>s</w:t>
      </w:r>
      <w:r>
        <w:rPr>
          <w:b/>
        </w:rPr>
        <w:t>:</w:t>
      </w:r>
      <w:r w:rsidR="007706D2">
        <w:t xml:space="preserve"> todas las personas que tengan cierta edad especificada (10 años o más) y que durante un período de referencia (una semana) hayan trabajado al menos una hora.</w:t>
      </w:r>
    </w:p>
    <w:p w:rsidR="007706D2" w:rsidRDefault="007706D2" w:rsidP="001E1C1C">
      <w:pPr>
        <w:jc w:val="both"/>
      </w:pPr>
      <w:r w:rsidRPr="00CB6163">
        <w:rPr>
          <w:b/>
        </w:rPr>
        <w:t>Desocupados</w:t>
      </w:r>
      <w:r w:rsidR="00A466EF">
        <w:rPr>
          <w:b/>
        </w:rPr>
        <w:t>:</w:t>
      </w:r>
      <w:r>
        <w:t xml:space="preserve"> todas las personas que sin tener trabajo se encuentren disponibles para trabajar y han buscado activamente una ocupación en un período de referencia determinado.</w:t>
      </w:r>
    </w:p>
    <w:p w:rsidR="007706D2" w:rsidRDefault="00A466EF" w:rsidP="001E1C1C">
      <w:pPr>
        <w:jc w:val="both"/>
      </w:pPr>
      <w:r>
        <w:t>A partir de estos subconjuntos de población se definen las tasas:</w:t>
      </w:r>
    </w:p>
    <w:p w:rsidR="007706D2" w:rsidRDefault="007706D2" w:rsidP="001E1C1C">
      <w:pPr>
        <w:jc w:val="both"/>
      </w:pPr>
      <w:r w:rsidRPr="00CB6163">
        <w:rPr>
          <w:b/>
        </w:rPr>
        <w:lastRenderedPageBreak/>
        <w:t>Tasa de Actividad</w:t>
      </w:r>
      <w:r>
        <w:t xml:space="preserve">: porcentaje </w:t>
      </w:r>
      <w:r w:rsidR="00A466EF">
        <w:t>de</w:t>
      </w:r>
      <w:r>
        <w:t xml:space="preserve"> población económicamente activa </w:t>
      </w:r>
      <w:r w:rsidR="00A466EF">
        <w:t>respecto de</w:t>
      </w:r>
      <w:r>
        <w:t xml:space="preserve"> la población total.</w:t>
      </w:r>
    </w:p>
    <w:p w:rsidR="007706D2" w:rsidRDefault="007706D2" w:rsidP="001E1C1C">
      <w:pPr>
        <w:jc w:val="both"/>
      </w:pPr>
      <w:r w:rsidRPr="00CB6163">
        <w:rPr>
          <w:b/>
        </w:rPr>
        <w:t>Tasa de Empleo</w:t>
      </w:r>
      <w:r>
        <w:t xml:space="preserve">: porcentaje </w:t>
      </w:r>
      <w:r w:rsidR="00A466EF">
        <w:t>de</w:t>
      </w:r>
      <w:r>
        <w:t xml:space="preserve"> población ocupada </w:t>
      </w:r>
      <w:r w:rsidR="00A466EF">
        <w:t>respecto de</w:t>
      </w:r>
      <w:r>
        <w:t xml:space="preserve"> la población total.</w:t>
      </w:r>
    </w:p>
    <w:p w:rsidR="007706D2" w:rsidRDefault="007706D2" w:rsidP="001E1C1C">
      <w:pPr>
        <w:jc w:val="both"/>
      </w:pPr>
      <w:r w:rsidRPr="00CB6163">
        <w:rPr>
          <w:b/>
        </w:rPr>
        <w:t>Tasa de Desocupación</w:t>
      </w:r>
      <w:r>
        <w:t xml:space="preserve">: porcentaje </w:t>
      </w:r>
      <w:r w:rsidR="00A466EF">
        <w:t xml:space="preserve">de </w:t>
      </w:r>
      <w:r>
        <w:t xml:space="preserve">población desocupada </w:t>
      </w:r>
      <w:r w:rsidR="00A466EF">
        <w:t>respecto de</w:t>
      </w:r>
      <w:r>
        <w:t xml:space="preserve"> la población económicamente activa.</w:t>
      </w:r>
    </w:p>
    <w:p w:rsidR="007706D2" w:rsidRDefault="007706D2" w:rsidP="001E1C1C">
      <w:pPr>
        <w:jc w:val="both"/>
      </w:pPr>
    </w:p>
    <w:p w:rsidR="007706D2" w:rsidRDefault="00A466EF" w:rsidP="001E1C1C">
      <w:pPr>
        <w:jc w:val="both"/>
      </w:pPr>
      <w:r>
        <w:t>Dentro del conjunto de ocupados, se reconocen diferentes categorías</w:t>
      </w:r>
      <w:r w:rsidR="000C62CC">
        <w:t>:</w:t>
      </w:r>
    </w:p>
    <w:p w:rsidR="007706D2" w:rsidRDefault="007706D2" w:rsidP="001E1C1C">
      <w:pPr>
        <w:jc w:val="both"/>
      </w:pPr>
      <w:r w:rsidRPr="00A210AB">
        <w:rPr>
          <w:b/>
        </w:rPr>
        <w:t>Asalariados</w:t>
      </w:r>
      <w:r w:rsidR="00A466EF">
        <w:t xml:space="preserve">: quienes </w:t>
      </w:r>
      <w:r>
        <w:t>trabajan para un patrón, empresa o institución por un pago en dinero o en especie,</w:t>
      </w:r>
      <w:r w:rsidR="00A466EF">
        <w:t xml:space="preserve"> </w:t>
      </w:r>
      <w:r>
        <w:t>trabajadores</w:t>
      </w:r>
      <w:r w:rsidR="00A466EF">
        <w:t xml:space="preserve"> de</w:t>
      </w:r>
      <w:r>
        <w:t xml:space="preserve"> servicio doméstico, trabajadores ad-honorem (aprendices, meritorios judiciales, etc.)</w:t>
      </w:r>
      <w:r w:rsidR="00A466EF">
        <w:t xml:space="preserve">, quienes </w:t>
      </w:r>
      <w:r>
        <w:t>declaran trabajar para su propia empresa o negocio, no emplean asalariados y desarrollan un trabajo para un solo cliente.</w:t>
      </w:r>
    </w:p>
    <w:p w:rsidR="007706D2" w:rsidRDefault="007706D2" w:rsidP="001E1C1C">
      <w:pPr>
        <w:jc w:val="both"/>
      </w:pPr>
      <w:r w:rsidRPr="005A1E44">
        <w:rPr>
          <w:b/>
        </w:rPr>
        <w:t>Patrones</w:t>
      </w:r>
      <w:r w:rsidR="00A466EF">
        <w:rPr>
          <w:b/>
        </w:rPr>
        <w:t>:</w:t>
      </w:r>
      <w:r>
        <w:t xml:space="preserve"> </w:t>
      </w:r>
      <w:r w:rsidR="00A466EF">
        <w:t xml:space="preserve">quienes </w:t>
      </w:r>
      <w:r w:rsidRPr="005A1E44">
        <w:t>trabajan para su propio negocio o actividad y contratan de manera permanente asalariados para desarrollar la actividad.</w:t>
      </w:r>
    </w:p>
    <w:p w:rsidR="007706D2" w:rsidRDefault="007706D2" w:rsidP="001E1C1C">
      <w:pPr>
        <w:jc w:val="both"/>
      </w:pPr>
      <w:r w:rsidRPr="005A1E44">
        <w:rPr>
          <w:b/>
        </w:rPr>
        <w:t>Trabajadores por cuenta propia</w:t>
      </w:r>
      <w:r w:rsidR="00A466EF">
        <w:rPr>
          <w:b/>
        </w:rPr>
        <w:t xml:space="preserve">: </w:t>
      </w:r>
      <w:r w:rsidR="00A466EF">
        <w:t>quienes t</w:t>
      </w:r>
      <w:r>
        <w:t>rabajan para su propio negocio o actividad y no emplean trabajadores o emplean sólo a veces o por temporada.</w:t>
      </w:r>
    </w:p>
    <w:p w:rsidR="007706D2" w:rsidRDefault="007706D2" w:rsidP="001E1C1C">
      <w:pPr>
        <w:jc w:val="both"/>
      </w:pPr>
      <w:r w:rsidRPr="005F0DB8">
        <w:rPr>
          <w:b/>
        </w:rPr>
        <w:t>Trabajadores familiares sin remuneración</w:t>
      </w:r>
      <w:r w:rsidR="00A466EF">
        <w:rPr>
          <w:b/>
        </w:rPr>
        <w:t>:</w:t>
      </w:r>
      <w:r w:rsidRPr="005F0DB8">
        <w:t xml:space="preserve"> </w:t>
      </w:r>
      <w:r w:rsidR="00A466EF">
        <w:t>quienes están ocupado</w:t>
      </w:r>
      <w:r w:rsidRPr="005F0DB8">
        <w:t>s en un establecimiento económico dirigido por una persona de su familia -que puede vivir o no en el mismo hogar- y que no reciben pago en dinero o en especie por su trabajo ni retiran dinero.</w:t>
      </w:r>
    </w:p>
    <w:p w:rsidR="007706D2" w:rsidRDefault="007706D2" w:rsidP="001E1C1C">
      <w:pPr>
        <w:jc w:val="both"/>
      </w:pPr>
    </w:p>
    <w:p w:rsidR="007706D2" w:rsidRDefault="007706D2" w:rsidP="001E1C1C">
      <w:pPr>
        <w:jc w:val="both"/>
      </w:pPr>
      <w:r>
        <w:t xml:space="preserve">Además, para cada persona ocupada </w:t>
      </w:r>
      <w:r w:rsidR="00A466EF">
        <w:t>la EPH</w:t>
      </w:r>
      <w:r>
        <w:t xml:space="preserve"> releva su ingreso, desglosado según la fuente de donde provenga</w:t>
      </w:r>
      <w:r w:rsidR="00D270E8">
        <w:t xml:space="preserve"> (ocupación principal, secundaria, etc.)</w:t>
      </w:r>
      <w:r>
        <w:t>.</w:t>
      </w:r>
    </w:p>
    <w:p w:rsidR="00B06D73" w:rsidRDefault="00B06D73" w:rsidP="001E1C1C">
      <w:pPr>
        <w:jc w:val="both"/>
      </w:pPr>
    </w:p>
    <w:p w:rsidR="007706D2" w:rsidRDefault="007706D2" w:rsidP="001E1C1C">
      <w:pPr>
        <w:jc w:val="both"/>
      </w:pPr>
      <w:r>
        <w:t>El objetivo de este documento es analizar las diferencias que hay entre varones y mujeres y entre personas de diferente nivel de educación, en</w:t>
      </w:r>
      <w:r w:rsidR="00B06D73">
        <w:t xml:space="preserve"> términos de</w:t>
      </w:r>
      <w:r w:rsidR="00864034">
        <w:t xml:space="preserve"> su inserción laboral, a la que se descompone en </w:t>
      </w:r>
      <w:r w:rsidR="00864034" w:rsidRPr="00864034">
        <w:rPr>
          <w:highlight w:val="yellow"/>
        </w:rPr>
        <w:t>n</w:t>
      </w:r>
      <w:r w:rsidR="00864034">
        <w:t xml:space="preserve"> aspectos</w:t>
      </w:r>
      <w:r w:rsidR="00B06D73">
        <w:t>:</w:t>
      </w:r>
      <w:r>
        <w:t xml:space="preserve"> participación</w:t>
      </w:r>
      <w:r w:rsidR="00864034">
        <w:t xml:space="preserve"> (actividad)</w:t>
      </w:r>
      <w:r>
        <w:t xml:space="preserve"> económica</w:t>
      </w:r>
      <w:r w:rsidR="00B06D73">
        <w:t xml:space="preserve">, </w:t>
      </w:r>
      <w:r>
        <w:t>desempleo</w:t>
      </w:r>
      <w:r w:rsidR="00B06D73">
        <w:t>,</w:t>
      </w:r>
      <w:r>
        <w:t xml:space="preserve"> categoría ocupacional</w:t>
      </w:r>
      <w:r w:rsidR="00B06D73">
        <w:t xml:space="preserve">, </w:t>
      </w:r>
      <w:r w:rsidR="00FD4B12">
        <w:t xml:space="preserve">precariedad del empleo, </w:t>
      </w:r>
      <w:r>
        <w:t>ingreso salarial total y por hora</w:t>
      </w:r>
      <w:r w:rsidR="00B06D73">
        <w:t>; según los subconjuntos poblacionales correspondientes a cada caso</w:t>
      </w:r>
      <w:r>
        <w:t>.</w:t>
      </w:r>
      <w:r w:rsidR="00D67674">
        <w:t xml:space="preserve"> La fuente de datos consultada no ofrece información sobre la jerarquía ocupacional de los trabajadores, por lo que no es posible, a partir de ella</w:t>
      </w:r>
      <w:r w:rsidR="00286F41">
        <w:t>,</w:t>
      </w:r>
      <w:r w:rsidR="00D67674">
        <w:t xml:space="preserve"> analizar el eventual acceso diferencial a cargos de responsabilidad, que aparece como un indicador importante de la brecha. Estos análisis deben hacerse generando datos propios, como en el caso de </w:t>
      </w:r>
      <w:r w:rsidR="00577CEB">
        <w:fldChar w:fldCharType="begin" w:fldLock="1"/>
      </w:r>
      <w:r w:rsidR="00EF67FB">
        <w:instrText>ADDIN CSL_CITATION {"citationItems":[{"id":"ITEM-1","itemData":{"abstract":"El presente artículo ofrece una revisión de la literatura a nivel nacional e internacional indagando acerca del proceso de promoción del género femenino en la escala jerárquica de la organización. El objetivo central del artí- culo apunta a determinar qué factores o características personales, profesionales y culturales, entre otras, influyen en la participación de las mujeres en los puestos directivos de las empresas. A partir de esta base, se analiza la situación de las mujeres en el ámbito de Río Cuarto, Córdoba y la región. Esta última premisa involucra la realización de un trabajo de campo que, a nivel exploratorio, analiza las características de la inserción de varones y mujeres en la organización locales y regionales y los determinantes en el acceso a cargos de dirección.","author":[{"dropping-particle":"","family":"Moine","given":"María Beatriz","non-dropping-particle":"","parse-names":false,"suffix":""}],"container-title":"Ciencias Económicas","id":"ITEM-1","issue":"10","issued":{"date-parts":[["2013"]]},"page":"21-45","publisher":"Facultad de Ciencias Económicas de la Universidad Nacional del Litoral","title":"Factores que inciden en el acceso de las mujeres a cargos de responsabilidad en la estructura organizacional","type":"article-journal","volume":"1"},"uris":["http://www.mendeley.com/documents/?uuid=4a06b070-2121-307f-b5e8-727264f34885"]}],"mendeley":{"formattedCitation":"(Moine, 2013)","manualFormatting":"Moine (2013)","plainTextFormattedCitation":"(Moine, 2013)","previouslyFormattedCitation":"(Moine, 2013)"},"properties":{"noteIndex":0},"schema":"https://github.com/citation-style-language/schema/raw/master/csl-citation.json"}</w:instrText>
      </w:r>
      <w:r w:rsidR="00577CEB">
        <w:fldChar w:fldCharType="separate"/>
      </w:r>
      <w:r w:rsidR="00D67674">
        <w:rPr>
          <w:noProof/>
        </w:rPr>
        <w:t>Moine</w:t>
      </w:r>
      <w:r w:rsidR="00D67674" w:rsidRPr="00D67674">
        <w:rPr>
          <w:noProof/>
        </w:rPr>
        <w:t xml:space="preserve"> </w:t>
      </w:r>
      <w:r w:rsidR="00D67674">
        <w:rPr>
          <w:noProof/>
        </w:rPr>
        <w:t>(</w:t>
      </w:r>
      <w:r w:rsidR="00D67674" w:rsidRPr="00D67674">
        <w:rPr>
          <w:noProof/>
        </w:rPr>
        <w:t>2013)</w:t>
      </w:r>
      <w:r w:rsidR="00577CEB">
        <w:fldChar w:fldCharType="end"/>
      </w:r>
      <w:r w:rsidR="00965F8A">
        <w:t xml:space="preserve"> para Córdoba y Río Cuarto, </w:t>
      </w:r>
      <w:r w:rsidR="000354F7">
        <w:t>los que se publica</w:t>
      </w:r>
      <w:r w:rsidR="00CB403A">
        <w:t>n en medios</w:t>
      </w:r>
      <w:r w:rsidR="000354F7">
        <w:t xml:space="preserve"> como </w:t>
      </w:r>
      <w:r w:rsidR="00577CEB">
        <w:fldChar w:fldCharType="begin" w:fldLock="1"/>
      </w:r>
      <w:r w:rsidR="00EF67FB">
        <w:instrText>ADDIN CSL_CITATION {"citationItems":[{"id":"ITEM-1","itemData":{"author":[{"dropping-particle":"","family":"Cronista","given":"El","non-dropping-particle":"","parse-names":false,"suffix":""}],"container-title":"El Cronista","id":"ITEM-1","issued":{"date-parts":[["2018","3","8"]]},"page":"1","publisher-place":"Buenos Aires","title":"Las mujeres solo ocupan el 10% de los puestos directivos en compañías locales | El Cronista","type":"article-newspaper"},"uris":["http://www.mendeley.com/documents/?uuid=1700e43e-bb39-3f97-a515-a016c0cae574"]},{"id":"ITEM-2","itemData":{"author":[{"dropping-particle":"","family":"Rio Negro","given":"","non-dropping-particle":"","parse-names":false,"suffix":""}],"container-title":"Rio Negro","id":"ITEM-2","issued":{"date-parts":[["2018","10","5"]]},"title":"Brecha salarial: ¿cuestión de género?","type":"article-newspaper"},"uris":["http://www.mendeley.com/documents/?uuid=d1d68e84-c311-3656-8878-84f17be769fc"]}],"mendeley":{"formattedCitation":"(Cronista, 2018; Rio Negro, 2018)","plainTextFormattedCitation":"(Cronista, 2018; Rio Negro, 2018)","previouslyFormattedCitation":"(Cronista, 2018; Rio Negro, 2018)"},"properties":{"noteIndex":0},"schema":"https://github.com/citation-style-language/schema/raw/master/csl-citation.json"}</w:instrText>
      </w:r>
      <w:r w:rsidR="00577CEB">
        <w:fldChar w:fldCharType="separate"/>
      </w:r>
      <w:r w:rsidR="00D270E8" w:rsidRPr="00D270E8">
        <w:rPr>
          <w:noProof/>
        </w:rPr>
        <w:t>(Cronista, 2018; Rio Negro, 2018)</w:t>
      </w:r>
      <w:r w:rsidR="00577CEB">
        <w:fldChar w:fldCharType="end"/>
      </w:r>
      <w:r w:rsidR="00CB403A">
        <w:t xml:space="preserve"> </w:t>
      </w:r>
      <w:r w:rsidR="00965F8A">
        <w:t xml:space="preserve">o bien </w:t>
      </w:r>
      <w:r w:rsidR="000354F7">
        <w:t xml:space="preserve">apelar a </w:t>
      </w:r>
      <w:r w:rsidR="00965F8A">
        <w:t>datos censales, como en</w:t>
      </w:r>
      <w:r w:rsidR="00B761A0">
        <w:t xml:space="preserve"> </w:t>
      </w:r>
      <w:r w:rsidR="00577CEB">
        <w:fldChar w:fldCharType="begin" w:fldLock="1"/>
      </w:r>
      <w:r w:rsidR="00EF67FB">
        <w:instrText>ADDIN CSL_CITATION {"citationItems":[{"id":"ITEM-1","itemData":{"abstract":"Las dos últimas décadas se han caracterizado por las profundas transformaciones provocadas por la irrupción de las mujeres en el mundo público. Estas han abarcado, entre otros aspectos, los cambios en el mundo del trabajo, los logros educativos, las bajas notables de la fecundidad femenina, las consecuentes modificaciones de las relaciones familiares y el progreso, importante aunque insuficiente, en materia de acceso a la toma de decisiones. Sin embargo, la mayoría de los hombres no participa en el trabajo del hogar, ni en el conjunto de las actividades de cuidado no remuneradas que trae aparejadas la vida comunitaria y social, con la consecuente concentración del trabajo doméstico en manos de las mujeres. La armonización del ámbito público y privado plantea desafíos en el campo de los valores y los comportamientos, y requiere de políticas públicas que favorezcan la redistribución de las responsabilidades familiares entre hombres y mujeres. En el ámbito institucional, se han creado nuevas entidades, en el marco de complejos procesos de reforma del Estado. Los cambios legislativos han dado origen a oportunidades y desafíos, especialmente en lo que se refiere al ejercicio real e integral de los derechos humanos de las mujeres. Nuevos conocimientos y una amplia gama de experiencias en el ámbito de las políticas demuestran que la igualdad de género tiene efectos positivos en el desarrollo. Dos áreas son sumamente importantes, tanto para la región como para el logro de la igualdad de género: la superación de la pobreza y el empoderamiento de la ciudadanía, en un contexto democrático. \"Caminos hacia la equidad de género\" es el documento que presenta la CEPAL a la novena Conferencia Regional sobre la Mujer de América Latina y el Caribe, así como la contribución regional al cuadragésimo noveno período de sesiones de la Comisión de la Condición Jurídica y Social de la Mujer, que se celebrará en marzo del 2005. En este se examina y evalúa el cumplimiento de los compromisos plasmados en el Programa de Acción Regional para las Mujeres de América Latina y el Caribe, cuya vigencia se extendió más allá del año 2001 en virtud del Consenso de Lima, aprobado en la octava Conferencia Regional sobre la Mujer de América Latina y el Caribe (Lima, 2000);, y en la Plataforma de Acción de la Cuarta Conferencia Mundial sobre la Mujer (Beijing, 1995);. Su preparación abarcó un amplio proceso de consulta con representantes de los países miembros, que participaron en tres reuniones…","author":[{"dropping-particle":"","family":"CEPAL","given":"","non-dropping-particle":"","parse-names":false,"suffix":""}],"container-title":"Conferencia Regional sobre la Mujer de América Latina y el Caribe No.9 | México","editor":[{"dropping-particle":"","family":"CEPAL","given":"","non-dropping-particle":"","parse-names":false,"suffix":""}],"id":"ITEM-1","issued":{"date-parts":[["2004"]]},"page":"104","publisher":"CEPAL","publisher-place":"Santiago de Chile","title":"Caminos hacia la equidad de género en América Latina y el Caribe","type":"paper-conference"},"uris":["http://www.mendeley.com/documents/?uuid=b5f8c7e7-0c2e-34e4-b769-11f7402445b0"]}],"mendeley":{"formattedCitation":"(CEPAL, 2004)","manualFormatting":"CEPAL (2004)","plainTextFormattedCitation":"(CEPAL, 2004)","previouslyFormattedCitation":"(CEPAL, 2004)"},"properties":{"noteIndex":0},"schema":"https://github.com/citation-style-language/schema/raw/master/csl-citation.json"}</w:instrText>
      </w:r>
      <w:r w:rsidR="00577CEB">
        <w:fldChar w:fldCharType="separate"/>
      </w:r>
      <w:r w:rsidR="00B761A0" w:rsidRPr="00B761A0">
        <w:rPr>
          <w:noProof/>
        </w:rPr>
        <w:t xml:space="preserve">CEPAL </w:t>
      </w:r>
      <w:r w:rsidR="00965F8A">
        <w:rPr>
          <w:noProof/>
        </w:rPr>
        <w:t>(</w:t>
      </w:r>
      <w:r w:rsidR="00B761A0" w:rsidRPr="00B761A0">
        <w:rPr>
          <w:noProof/>
        </w:rPr>
        <w:t>2004)</w:t>
      </w:r>
      <w:r w:rsidR="00577CEB">
        <w:fldChar w:fldCharType="end"/>
      </w:r>
      <w:r w:rsidR="000354F7">
        <w:t xml:space="preserve">, con la dificultad de no poder </w:t>
      </w:r>
      <w:r w:rsidR="00864034">
        <w:t>apreciar</w:t>
      </w:r>
      <w:r w:rsidR="000354F7">
        <w:t xml:space="preserve"> cambios de corto plazo</w:t>
      </w:r>
      <w:r w:rsidR="00286F41">
        <w:t>.</w:t>
      </w:r>
    </w:p>
    <w:p w:rsidR="00FD4B12" w:rsidRDefault="00FD4B12" w:rsidP="001E1C1C">
      <w:pPr>
        <w:jc w:val="both"/>
      </w:pPr>
      <w:r>
        <w:t xml:space="preserve">La precariedad del empleo </w:t>
      </w:r>
      <w:r w:rsidR="008125D9">
        <w:t xml:space="preserve">asalariado </w:t>
      </w:r>
      <w:r>
        <w:t xml:space="preserve">se aproxima por medio de una variable en la EPH que indica la carencia </w:t>
      </w:r>
      <w:r w:rsidR="00D270E8">
        <w:t xml:space="preserve">simultánea </w:t>
      </w:r>
      <w:r>
        <w:t>de vacaciones pagas, aguinaldo, días pagos por enfermedad y obra social.</w:t>
      </w:r>
    </w:p>
    <w:p w:rsidR="001D1C90" w:rsidRDefault="001D1C90" w:rsidP="001E1C1C">
      <w:pPr>
        <w:jc w:val="both"/>
      </w:pPr>
      <w:r>
        <w:t>A fin de reducir las fuentes de dispersión salarial, se controla</w:t>
      </w:r>
      <w:r w:rsidR="00B06D73">
        <w:t>, además</w:t>
      </w:r>
      <w:r>
        <w:t xml:space="preserve"> el sector (estatal o privado) en el que el trabajador se desempeña.</w:t>
      </w:r>
    </w:p>
    <w:p w:rsidR="00DF1DEE" w:rsidRDefault="00B06D73" w:rsidP="001E1C1C">
      <w:pPr>
        <w:jc w:val="both"/>
      </w:pPr>
      <w:r>
        <w:t>Para el cálculo del ingreso por hora, s</w:t>
      </w:r>
      <w:r w:rsidR="00BF6D20">
        <w:t>e elimina</w:t>
      </w:r>
      <w:r w:rsidR="00B41E64">
        <w:t>n los trabajadores sin ingresos y</w:t>
      </w:r>
      <w:r w:rsidR="00BF6D20">
        <w:t xml:space="preserve"> quienes no declaran horas trabajadas</w:t>
      </w:r>
      <w:r w:rsidR="00C85F93">
        <w:t>.</w:t>
      </w:r>
      <w:r w:rsidR="00B41E64">
        <w:t xml:space="preserve"> </w:t>
      </w:r>
      <w:r w:rsidR="00BF6D20">
        <w:t xml:space="preserve">No se eliminan valores extremos del ingreso a fin </w:t>
      </w:r>
      <w:r w:rsidR="009B5D72">
        <w:t>d</w:t>
      </w:r>
      <w:r w:rsidR="00BF6D20">
        <w:t>e respetar el criterio del INDEC</w:t>
      </w:r>
      <w:r w:rsidR="006E0E4E">
        <w:t xml:space="preserve"> (2018)</w:t>
      </w:r>
      <w:r>
        <w:t>.</w:t>
      </w:r>
    </w:p>
    <w:p w:rsidR="00AC79FA" w:rsidRDefault="006E0E4E" w:rsidP="001E1C1C">
      <w:pPr>
        <w:jc w:val="both"/>
      </w:pPr>
      <w:r>
        <w:lastRenderedPageBreak/>
        <w:t xml:space="preserve">A </w:t>
      </w:r>
      <w:r w:rsidR="00EE3D80">
        <w:t xml:space="preserve">continuación se muestran los resultados descriptivos de estas variables en perspectiva comparada entre mujeres y varones, para el primer trimestre de 2018. </w:t>
      </w:r>
      <w:r w:rsidR="002B677A">
        <w:t xml:space="preserve">No se utilizan modelizaciones econométricas </w:t>
      </w:r>
      <w:r w:rsidR="0063472A">
        <w:t xml:space="preserve">porque se considera que los supuestos que las sostienen </w:t>
      </w:r>
      <w:r w:rsidR="00B9546D">
        <w:t>son de difícil cumplimiento</w:t>
      </w:r>
      <w:r w:rsidR="0063472A">
        <w:t xml:space="preserve"> cuando se aplican al análisis de procesos que involucran humanos. La teoría de la acción racional resulta contradictoria con las evidencia empírica que reporta la investigación de las últimas tres décadas</w:t>
      </w:r>
      <w:r w:rsidR="00554043">
        <w:t xml:space="preserve">, desde </w:t>
      </w:r>
      <w:r w:rsidR="00577CEB">
        <w:fldChar w:fldCharType="begin" w:fldLock="1"/>
      </w:r>
      <w:r w:rsidR="00C700C5">
        <w:instrText>ADDIN CSL_CITATION {"citationItems":[{"id":"ITEM-1","itemData":{"author":[{"dropping-particle":"","family":"Kahneman","given":"Daniel","non-dropping-particle":"","parse-names":false,"suffix":""},{"dropping-particle":"","family":"Tversky","given":"Amos","non-dropping-particle":"","parse-names":false,"suffix":""}],"container-title":"Econometrica","id":"ITEM-1","issue":"2","issued":{"date-parts":[["1979"]]},"page":"263-291","title":"PROSPECT THEORY: AN ANALYSIS OF DECISION UNDER RISK","type":"article-journal","volume":"47"},"uris":["http://www.mendeley.com/documents/?uuid=fbd8daa3-40be-3b48-a916-1bd758f2526f"]}],"mendeley":{"formattedCitation":"(Kahneman &amp; Tversky, 1979)","manualFormatting":"Kahneman &amp; Tversky (1979)","plainTextFormattedCitation":"(Kahneman &amp; Tversky, 1979)","previouslyFormattedCitation":"(Kahneman &amp; Tversky, 1979)"},"properties":{"noteIndex":0},"schema":"https://github.com/citation-style-language/schema/raw/master/csl-citation.json"}</w:instrText>
      </w:r>
      <w:r w:rsidR="00577CEB">
        <w:fldChar w:fldCharType="separate"/>
      </w:r>
      <w:r w:rsidR="00554043">
        <w:rPr>
          <w:noProof/>
        </w:rPr>
        <w:t>Kahneman &amp; Tversky</w:t>
      </w:r>
      <w:r w:rsidR="00554043" w:rsidRPr="00554043">
        <w:rPr>
          <w:noProof/>
        </w:rPr>
        <w:t xml:space="preserve"> </w:t>
      </w:r>
      <w:r w:rsidR="00554043">
        <w:rPr>
          <w:noProof/>
        </w:rPr>
        <w:t>(</w:t>
      </w:r>
      <w:r w:rsidR="00554043" w:rsidRPr="00554043">
        <w:rPr>
          <w:noProof/>
        </w:rPr>
        <w:t>1979)</w:t>
      </w:r>
      <w:r w:rsidR="00577CEB">
        <w:fldChar w:fldCharType="end"/>
      </w:r>
      <w:r w:rsidR="00554043">
        <w:t xml:space="preserve"> en adelante</w:t>
      </w:r>
      <w:r w:rsidR="0063472A">
        <w:t>.</w:t>
      </w:r>
      <w:r w:rsidR="00AC79FA">
        <w:t xml:space="preserve"> Además, los modelos </w:t>
      </w:r>
      <w:r w:rsidR="00B9546D">
        <w:t xml:space="preserve">formalizados </w:t>
      </w:r>
      <w:r w:rsidR="00AC79FA">
        <w:t xml:space="preserve">agregan supuestos, de cuyo incierto cumplimiento dependen las conclusiones. La difícil comprensión del entramado matemático que requiere su elaboración, así como </w:t>
      </w:r>
      <w:r w:rsidR="00B9546D">
        <w:t xml:space="preserve">de </w:t>
      </w:r>
      <w:r w:rsidR="00AC79FA">
        <w:t>la teoría que sustenta las especificaciones, diluyen la crítica que pueda hacerse desde fuera de la disciplina económica.</w:t>
      </w:r>
    </w:p>
    <w:p w:rsidR="00D270E8" w:rsidRDefault="007D561B" w:rsidP="001E1C1C">
      <w:pPr>
        <w:jc w:val="both"/>
      </w:pPr>
      <w:r>
        <w:t>Por el contrario, el objeti</w:t>
      </w:r>
      <w:r w:rsidR="0063472A">
        <w:t xml:space="preserve">vo de este trabajo es </w:t>
      </w:r>
      <w:r w:rsidR="00AC79FA">
        <w:t xml:space="preserve">apoyarse en datos para aportar a la discusión sobre las diferencias en la inserción laboral de mujeres y varones en la Argentina. </w:t>
      </w:r>
      <w:r w:rsidR="00EE3D80">
        <w:t xml:space="preserve">A </w:t>
      </w:r>
      <w:r w:rsidR="006E0E4E">
        <w:t xml:space="preserve">fin de mejorar la capacidad comunicacional, </w:t>
      </w:r>
      <w:r w:rsidR="002E30E3">
        <w:t>las lecturas</w:t>
      </w:r>
      <w:r w:rsidR="008C60BB">
        <w:t xml:space="preserve"> se </w:t>
      </w:r>
      <w:r w:rsidR="002E30E3">
        <w:t xml:space="preserve">presentan en </w:t>
      </w:r>
      <w:r w:rsidR="008C60BB">
        <w:t>forma gráfica</w:t>
      </w:r>
      <w:r w:rsidR="002E30E3">
        <w:t>. E</w:t>
      </w:r>
      <w:r w:rsidR="008C60BB">
        <w:t xml:space="preserve">n el anexo </w:t>
      </w:r>
      <w:r w:rsidR="006D2937">
        <w:t xml:space="preserve">I </w:t>
      </w:r>
      <w:r w:rsidR="008C60BB">
        <w:t xml:space="preserve">se </w:t>
      </w:r>
      <w:r w:rsidR="00EE3D80">
        <w:t xml:space="preserve">encuentra </w:t>
      </w:r>
      <w:r w:rsidR="00D270E8">
        <w:t xml:space="preserve">la sintaxis R para reproducir los gráficos que aquí se muestran y la serie 2004-2017 a partir de las bases de </w:t>
      </w:r>
      <w:proofErr w:type="spellStart"/>
      <w:r w:rsidR="00D270E8">
        <w:t>microdatos</w:t>
      </w:r>
      <w:proofErr w:type="spellEnd"/>
      <w:r w:rsidR="00D270E8">
        <w:t xml:space="preserve"> que provee el INDEC.</w:t>
      </w:r>
      <w:r w:rsidR="008C60BB">
        <w:t xml:space="preserve"> </w:t>
      </w:r>
      <w:r w:rsidR="00D270E8">
        <w:t xml:space="preserve">Los datos de períodos anteriores </w:t>
      </w:r>
      <w:r w:rsidR="008C60BB">
        <w:t>debe</w:t>
      </w:r>
      <w:r w:rsidR="00EE3D80">
        <w:t>n</w:t>
      </w:r>
      <w:r w:rsidR="008C60BB">
        <w:t xml:space="preserve"> observarse con el resguardo que marca</w:t>
      </w:r>
      <w:r w:rsidR="00280511">
        <w:t>n los</w:t>
      </w:r>
      <w:r w:rsidR="008C60BB">
        <w:t xml:space="preserve"> decreto</w:t>
      </w:r>
      <w:r w:rsidR="00280511">
        <w:t>s</w:t>
      </w:r>
      <w:r w:rsidR="00B94313">
        <w:t>181/15 y 55/16</w:t>
      </w:r>
      <w:r w:rsidR="00DF1DEE">
        <w:t>.</w:t>
      </w:r>
    </w:p>
    <w:p w:rsidR="00D270E8" w:rsidRDefault="00D270E8" w:rsidP="001E1C1C">
      <w:pPr>
        <w:jc w:val="both"/>
      </w:pPr>
    </w:p>
    <w:p w:rsidR="008C60BB" w:rsidRDefault="00D270E8" w:rsidP="001E1C1C">
      <w:pPr>
        <w:jc w:val="both"/>
      </w:pPr>
      <w:r>
        <w:t xml:space="preserve"> </w:t>
      </w:r>
    </w:p>
    <w:p w:rsidR="006D2937" w:rsidRDefault="006D2937" w:rsidP="001E1C1C">
      <w:pPr>
        <w:jc w:val="both"/>
      </w:pPr>
      <w:r>
        <w:t>Resultados</w:t>
      </w:r>
    </w:p>
    <w:p w:rsidR="006D2937" w:rsidRDefault="006D2937" w:rsidP="001E1C1C">
      <w:pPr>
        <w:jc w:val="both"/>
      </w:pPr>
    </w:p>
    <w:p w:rsidR="00B5681B" w:rsidRDefault="00B5681B" w:rsidP="001E1C1C">
      <w:pPr>
        <w:jc w:val="both"/>
      </w:pPr>
      <w:r>
        <w:t>Participación laboral</w:t>
      </w:r>
    </w:p>
    <w:p w:rsidR="00084E03" w:rsidRDefault="00C700C5" w:rsidP="001E1C1C">
      <w:pPr>
        <w:jc w:val="both"/>
      </w:pPr>
      <w:r>
        <w:t xml:space="preserve">Los estudios sobre participación laboral diferenciada entre varones y mujeres, ponen en juego el concepto de Bono de Género </w:t>
      </w:r>
      <w:r w:rsidR="00577CEB">
        <w:fldChar w:fldCharType="begin" w:fldLock="1"/>
      </w:r>
      <w:r w:rsidR="00C43A51">
        <w:instrText>ADDIN CSL_CITATION {"citationItems":[{"id":"ITEM-1","itemData":{"ISBN":"978-987-28590-1-5","author":[{"dropping-particle":"","family":"Paz","given":"Jorge","non-dropping-particle":"","parse-names":false,"suffix":""},{"dropping-particle":"","family":"Macor","given":"Fabiana","non-dropping-particle":"","parse-names":false,"suffix":""}],"editor":[{"dropping-particle":"","family":"Asociación Argentina de Economía Política","given":"","non-dropping-particle":"","parse-names":false,"suffix":""}],"id":"ITEM-1","issued":{"date-parts":[["2013"]]},"title":"Bono Demográfico y Bono de Género en Argentina y Brasil","type":"paper-conference"},"uris":["http://www.mendeley.com/documents/?uuid=235ef8a5-36b3-35b8-8136-eace2e88a23c"]},{"id":"ITEM-2","itemData":{"author":[{"dropping-particle":"","family":"Martínez Gómez","given":"Ciro","non-dropping-particle":"","parse-names":false,"suffix":""},{"dropping-particle":"","family":"Miller","given":"Tim","non-dropping-particle":"","parse-names":false,"suffix":""},{"dropping-particle":"","family":"Saad","given":"Paulo Murad","non-dropping-particle":"","parse-names":false,"suffix":""}],"id":"ITEM-2","issued":{"date-parts":[["2013"]]},"publisher":"CEPAL","title":"Participación laboral femenina y bono de género en América Latina","type":"report"},"uris":["http://www.mendeley.com/documents/?uuid=acbcb7e7-2fda-3f3d-9b29-bc5694f1f4d5"]}],"mendeley":{"formattedCitation":"(Martínez Gómez, Miller, &amp; Saad, 2013; Paz &amp; Macor, 2013)","plainTextFormattedCitation":"(Martínez Gómez, Miller, &amp; Saad, 2013; Paz &amp; Macor, 2013)","previouslyFormattedCitation":"(Martínez Gómez, Miller, &amp; Saad, 2013; Paz &amp; Macor, 2013)"},"properties":{"noteIndex":0},"schema":"https://github.com/citation-style-language/schema/raw/master/csl-citation.json"}</w:instrText>
      </w:r>
      <w:r w:rsidR="00577CEB">
        <w:fldChar w:fldCharType="separate"/>
      </w:r>
      <w:r w:rsidR="00084E03" w:rsidRPr="00084E03">
        <w:rPr>
          <w:noProof/>
        </w:rPr>
        <w:t>(Martínez Gómez, Miller, &amp; Saad, 2013; Paz &amp; Macor, 2013)</w:t>
      </w:r>
      <w:r w:rsidR="00577CEB">
        <w:fldChar w:fldCharType="end"/>
      </w:r>
      <w:r>
        <w:t xml:space="preserve">, que </w:t>
      </w:r>
      <w:r w:rsidR="00084E03">
        <w:t xml:space="preserve">se refiere al eventual beneficio que obtendría </w:t>
      </w:r>
      <w:r w:rsidR="008125D9">
        <w:t xml:space="preserve">la economía de un país </w:t>
      </w:r>
      <w:r w:rsidR="00084E03">
        <w:t>por el aumento de la participación laboral femenina y su convergencia hacia la de los varones.</w:t>
      </w:r>
      <w:r w:rsidR="006B6AFF">
        <w:t xml:space="preserve"> </w:t>
      </w:r>
      <w:r w:rsidR="00C43A51">
        <w:t xml:space="preserve">Los resultados indican un aporte importante en el PBI en América Latina </w:t>
      </w:r>
      <w:r w:rsidR="008125D9">
        <w:t xml:space="preserve">atribuible al </w:t>
      </w:r>
      <w:r w:rsidR="00C43A51">
        <w:t xml:space="preserve">incremento de la actividad económica de las mujeres. </w:t>
      </w:r>
      <w:r w:rsidR="006B6AFF">
        <w:t>En este apartado, nos limitamos a observar el estado de este indicador para 2018 y sus diferencias por nivel de educación.</w:t>
      </w:r>
    </w:p>
    <w:p w:rsidR="00B5681B" w:rsidRDefault="00B5681B" w:rsidP="001E1C1C">
      <w:pPr>
        <w:jc w:val="both"/>
      </w:pPr>
      <w:r>
        <w:t>Para este análisis se considera a la población a partir de 15 años de edad, el gráfico siguiente ilustra la distribución de esta población, clasificada por sexo y nivel de educación, según se</w:t>
      </w:r>
      <w:r w:rsidR="00EF67FB">
        <w:t xml:space="preserve"> encuentre económicamente activa</w:t>
      </w:r>
      <w:r>
        <w:t xml:space="preserve"> o no.</w:t>
      </w:r>
    </w:p>
    <w:p w:rsidR="007822F7" w:rsidRDefault="007822F7" w:rsidP="001E1C1C">
      <w:pPr>
        <w:jc w:val="both"/>
      </w:pPr>
    </w:p>
    <w:p w:rsidR="007822F7" w:rsidRDefault="007822F7" w:rsidP="001E1C1C">
      <w:pPr>
        <w:jc w:val="both"/>
      </w:pPr>
      <w:r>
        <w:rPr>
          <w:noProof/>
          <w:lang w:eastAsia="es-AR"/>
        </w:rPr>
        <w:lastRenderedPageBreak/>
        <w:drawing>
          <wp:inline distT="0" distB="0" distL="0" distR="0">
            <wp:extent cx="5400675" cy="313817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ciondeactividad 2018 .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B5681B" w:rsidRDefault="00B5681B" w:rsidP="001E1C1C">
      <w:pPr>
        <w:jc w:val="both"/>
      </w:pPr>
    </w:p>
    <w:p w:rsidR="00B5681B" w:rsidRDefault="00B5681B" w:rsidP="001E1C1C">
      <w:pPr>
        <w:jc w:val="both"/>
      </w:pPr>
      <w:r>
        <w:t>La participación en actividades económicas reconoce diferencias importantes entre hombres y mujeres, que se modifican según el nivel de educación.</w:t>
      </w:r>
      <w:r w:rsidR="001E5127">
        <w:t xml:space="preserve"> La lectura debe tener en cuenta </w:t>
      </w:r>
      <w:r w:rsidR="004E01B7">
        <w:t>el rango de edades que se analiza</w:t>
      </w:r>
      <w:r w:rsidR="001E5127">
        <w:t xml:space="preserve">, por lo que una proporción importante </w:t>
      </w:r>
      <w:r w:rsidR="004E01B7">
        <w:t>de</w:t>
      </w:r>
      <w:r w:rsidR="001E5127">
        <w:t xml:space="preserve"> quienes indican estudios incompletos, los tiene en curso. De allí la </w:t>
      </w:r>
      <w:r w:rsidR="00B559FE">
        <w:t>comparativamente baja tasa de actividad de l</w:t>
      </w:r>
      <w:r w:rsidR="001E5127">
        <w:t>o</w:t>
      </w:r>
      <w:r w:rsidR="00B559FE">
        <w:t>s</w:t>
      </w:r>
      <w:r w:rsidR="001E5127">
        <w:t xml:space="preserve"> grupos </w:t>
      </w:r>
      <w:r w:rsidR="00B559FE">
        <w:t xml:space="preserve">con niveles de estudio </w:t>
      </w:r>
      <w:r w:rsidR="001E5127">
        <w:t>incompleto</w:t>
      </w:r>
      <w:r w:rsidR="00EF67FB">
        <w:t>s</w:t>
      </w:r>
      <w:r w:rsidR="00B559FE">
        <w:t>.</w:t>
      </w:r>
    </w:p>
    <w:p w:rsidR="00DE199D" w:rsidRDefault="00B559FE" w:rsidP="001E1C1C">
      <w:pPr>
        <w:jc w:val="both"/>
      </w:pPr>
      <w:r>
        <w:t>Aun con esas anomalías, la tendencia es creciente: la proporción de personas económicamente activas crece con la educación, tanto en el caso de los varones como de las mujeres.</w:t>
      </w:r>
      <w:r w:rsidR="00C43A51">
        <w:t xml:space="preserve"> </w:t>
      </w:r>
    </w:p>
    <w:p w:rsidR="00DE199D" w:rsidRDefault="00B559FE" w:rsidP="001E1C1C">
      <w:pPr>
        <w:jc w:val="both"/>
      </w:pPr>
      <w:r>
        <w:t>Por su parte, l</w:t>
      </w:r>
      <w:r w:rsidR="00B5681B">
        <w:t xml:space="preserve">a diferencia entre varones y mujeres se atenúa con el nivel de educación. Mientras que en los niveles más bajos la proporción de </w:t>
      </w:r>
      <w:r w:rsidR="007E3F8E">
        <w:t>varones laboralmente activos</w:t>
      </w:r>
      <w:r w:rsidR="00B5681B">
        <w:t xml:space="preserve"> </w:t>
      </w:r>
      <w:r w:rsidR="007E3F8E">
        <w:t xml:space="preserve">es </w:t>
      </w:r>
      <w:r>
        <w:t xml:space="preserve">más de </w:t>
      </w:r>
      <w:r w:rsidR="007E3F8E">
        <w:t xml:space="preserve">dos veces </w:t>
      </w:r>
      <w:r>
        <w:t xml:space="preserve">superior a </w:t>
      </w:r>
      <w:r w:rsidR="00B5681B">
        <w:t>la de l</w:t>
      </w:r>
      <w:r w:rsidR="007E3F8E">
        <w:t>a</w:t>
      </w:r>
      <w:r w:rsidR="00B5681B">
        <w:t xml:space="preserve">s </w:t>
      </w:r>
      <w:r w:rsidR="007E3F8E">
        <w:t>mujeres</w:t>
      </w:r>
      <w:r w:rsidR="00B5681B">
        <w:t xml:space="preserve">, esta diferencia baja </w:t>
      </w:r>
      <w:r w:rsidR="007E3F8E">
        <w:t>a 1.2 veces para los grupos de mayor educación. Si bien la orientación a la actividad económica es mayor entre los varones, cuando se trata de mujeres con mayor educación su nivel de actividad aumenta, acercándose al de éstos.</w:t>
      </w:r>
    </w:p>
    <w:p w:rsidR="00A1286E" w:rsidRDefault="00A1286E" w:rsidP="001E1C1C">
      <w:pPr>
        <w:jc w:val="both"/>
      </w:pPr>
    </w:p>
    <w:p w:rsidR="00A1286E" w:rsidRDefault="00A1286E" w:rsidP="001E1C1C">
      <w:pPr>
        <w:jc w:val="both"/>
      </w:pPr>
      <w:r>
        <w:t>Desocupación</w:t>
      </w:r>
    </w:p>
    <w:p w:rsidR="0053243E" w:rsidRDefault="00373C00" w:rsidP="001E1C1C">
      <w:pPr>
        <w:jc w:val="both"/>
      </w:pPr>
      <w:r>
        <w:t xml:space="preserve">Si solo se dirige </w:t>
      </w:r>
      <w:r w:rsidR="00F61D8D">
        <w:t>l</w:t>
      </w:r>
      <w:r>
        <w:t>a</w:t>
      </w:r>
      <w:r w:rsidR="00F61D8D">
        <w:t xml:space="preserve"> atención a la población económicamente activa, </w:t>
      </w:r>
      <w:r w:rsidR="00033F33">
        <w:t>se observa que</w:t>
      </w:r>
      <w:r w:rsidR="00895C5B">
        <w:t xml:space="preserve"> el desempleo afecta de manera similar a mujeres y varones, </w:t>
      </w:r>
      <w:r w:rsidR="00A1286E">
        <w:t xml:space="preserve">y que nuevamente, </w:t>
      </w:r>
      <w:r w:rsidR="00033F33">
        <w:t xml:space="preserve">el </w:t>
      </w:r>
      <w:r w:rsidR="00895C5B">
        <w:t>nivel de educación</w:t>
      </w:r>
      <w:r w:rsidR="00033F33">
        <w:t xml:space="preserve"> </w:t>
      </w:r>
      <w:r w:rsidR="00A1286E">
        <w:t>modula las diferencias</w:t>
      </w:r>
      <w:r w:rsidR="00033F33">
        <w:t>.</w:t>
      </w:r>
    </w:p>
    <w:p w:rsidR="007822F7" w:rsidRDefault="007822F7" w:rsidP="001E1C1C">
      <w:pPr>
        <w:jc w:val="both"/>
      </w:pPr>
      <w:r>
        <w:rPr>
          <w:noProof/>
          <w:lang w:eastAsia="es-AR"/>
        </w:rPr>
        <w:lastRenderedPageBreak/>
        <w:drawing>
          <wp:inline distT="0" distB="0" distL="0" distR="0">
            <wp:extent cx="5400675" cy="3138170"/>
            <wp:effectExtent l="0" t="0" r="0" b="0"/>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ocupación 2018 .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373C00" w:rsidRDefault="00373C00" w:rsidP="001E1C1C">
      <w:pPr>
        <w:jc w:val="both"/>
      </w:pPr>
    </w:p>
    <w:p w:rsidR="00C27642" w:rsidRDefault="00C27642" w:rsidP="001E1C1C">
      <w:pPr>
        <w:jc w:val="both"/>
      </w:pPr>
      <w:r>
        <w:t xml:space="preserve">La proporción de personas que buscaron trabajo y no lo hallaron en la semana de referencia es levemente mayor entre las mujeres, pero la educación tiene efecto más intenso. Se vuelve a observar la particularidad de los niveles de educación incompletos, en los que la desocupación no conserva la tendencia decreciente con la educación. </w:t>
      </w:r>
      <w:r w:rsidR="00D46BD3">
        <w:t xml:space="preserve">Si se trata de población </w:t>
      </w:r>
      <w:r w:rsidR="00786F42">
        <w:t>i</w:t>
      </w:r>
      <w:r w:rsidR="00D46BD3">
        <w:t>nserta en el sistema educativo, entonces, debe agregarse que, a la menor orientación de la actividad económica que puede esperarse</w:t>
      </w:r>
      <w:r w:rsidR="00786F42">
        <w:t xml:space="preserve"> </w:t>
      </w:r>
      <w:r w:rsidR="00D46BD3">
        <w:t>de quienes están estudiando, se agrega una mayor dificultad pa</w:t>
      </w:r>
      <w:r w:rsidR="00786F42">
        <w:t>ra conseguir empleo por parte d</w:t>
      </w:r>
      <w:r w:rsidR="00D46BD3">
        <w:t>e</w:t>
      </w:r>
      <w:r w:rsidR="00786F42">
        <w:t xml:space="preserve"> </w:t>
      </w:r>
      <w:r w:rsidR="00D46BD3">
        <w:t>quienes lo buscan</w:t>
      </w:r>
      <w:r w:rsidR="00786F42">
        <w:t>.</w:t>
      </w:r>
      <w:r w:rsidR="00393A8C">
        <w:t xml:space="preserve"> En ese patrón</w:t>
      </w:r>
      <w:r w:rsidR="00E17AFE">
        <w:t xml:space="preserve"> no se observan diferencias entre varones y mujeres.</w:t>
      </w:r>
    </w:p>
    <w:p w:rsidR="00AE2B17" w:rsidRDefault="00AE2B17" w:rsidP="001E1C1C">
      <w:pPr>
        <w:jc w:val="both"/>
      </w:pPr>
    </w:p>
    <w:p w:rsidR="00AE2B17" w:rsidRDefault="00AE2B17" w:rsidP="001E1C1C">
      <w:pPr>
        <w:jc w:val="both"/>
      </w:pPr>
      <w:r>
        <w:t>Categoría ocupacional</w:t>
      </w:r>
    </w:p>
    <w:p w:rsidR="00EF67FB" w:rsidRPr="00B519AD" w:rsidRDefault="00602DE9" w:rsidP="00EF67FB">
      <w:pPr>
        <w:jc w:val="both"/>
      </w:pPr>
      <w:r>
        <w:t>A pesar de su impacto comunicacional, el cálculo de la</w:t>
      </w:r>
      <w:r w:rsidR="00A367BD">
        <w:t>s diferentes categorías de ocupación</w:t>
      </w:r>
      <w:r>
        <w:t xml:space="preserve"> que son ocupad</w:t>
      </w:r>
      <w:r w:rsidR="00A367BD">
        <w:t>a</w:t>
      </w:r>
      <w:r>
        <w:t>s por varones versus mujeres</w:t>
      </w:r>
      <w:r w:rsidR="008125D9">
        <w:t xml:space="preserve"> </w:t>
      </w:r>
      <w:r w:rsidR="00577CEB">
        <w:fldChar w:fldCharType="begin" w:fldLock="1"/>
      </w:r>
      <w:r w:rsidR="00344F7F">
        <w:instrText>ADDIN CSL_CITATION {"citationItems":[{"id":"ITEM-1","itemData":{"author":[{"dropping-particle":"","family":"Cronista","given":"El","non-dropping-particle":"","parse-names":false,"suffix":""}],"container-title":"El Cronista","id":"ITEM-1","issued":{"date-parts":[["2018","3","8"]]},"page":"1","publisher-place":"Buenos Aires","title":"Las mujeres solo ocupan el 10% de los puestos directivos en compañías locales | El Cronista","type":"article-newspaper"},"uris":["http://www.mendeley.com/documents/?uuid=1700e43e-bb39-3f97-a515-a016c0cae574"]}],"mendeley":{"formattedCitation":"(Cronista, 2018)"},"properties":{"noteIndex":0},"schema":"https://github.com/citation-style-language/schema/raw/master/csl-citation.json"}</w:instrText>
      </w:r>
      <w:r w:rsidR="00577CEB">
        <w:fldChar w:fldCharType="separate"/>
      </w:r>
      <w:r w:rsidR="00344F7F" w:rsidRPr="00344F7F">
        <w:rPr>
          <w:noProof/>
        </w:rPr>
        <w:t>(Cronista, 2018)</w:t>
      </w:r>
      <w:r w:rsidR="00577CEB">
        <w:fldChar w:fldCharType="end"/>
      </w:r>
      <w:r>
        <w:t>, es una medida engañosa, ya que la menor participación femenina en el mundo del trabajo, las vuelve menos presentes en todas las categorías ocupacionales, por esa razón es preferible dirigir la at</w:t>
      </w:r>
      <w:r w:rsidR="0087010D">
        <w:t xml:space="preserve">ención al </w:t>
      </w:r>
      <w:r w:rsidR="00EF67FB">
        <w:t xml:space="preserve">modo en que </w:t>
      </w:r>
      <w:r w:rsidR="0087010D">
        <w:t>se distribuye cad</w:t>
      </w:r>
      <w:r>
        <w:t>a sexo en la estructura ocupacional. Esto es, qu</w:t>
      </w:r>
      <w:r w:rsidR="0087010D">
        <w:t>é</w:t>
      </w:r>
      <w:r>
        <w:t xml:space="preserve"> proporción del total de varones pertenecen a cada categoría, versus el porcentaje correspondiente a mujeres. </w:t>
      </w:r>
      <w:r w:rsidR="0007544F">
        <w:t xml:space="preserve">En efecto, </w:t>
      </w:r>
      <w:r w:rsidR="00EF67FB">
        <w:t xml:space="preserve">para el primer trimestre de 2018, </w:t>
      </w:r>
      <w:r w:rsidR="0007544F">
        <w:t>en todas las categorías ocupacionales, a excepción del “trabajador familiar sin remuneración, que constituye el 0.5% de los puestos de trabajo, los varones superan a las mujeres. Esto se explica porque la tasa de actividad de lo</w:t>
      </w:r>
      <w:r w:rsidR="00EF67FB">
        <w:t>s</w:t>
      </w:r>
      <w:r w:rsidR="0007544F">
        <w:t xml:space="preserve"> varones es más alta. Por el contrario, si se analiza el patrón de distribución de cada sexo en las categorías, el resultado se independiza de la participación diferencial. Si se calcula sobre los puestos de trabajo, entre los patrones hay dos veces y media más varones que mujeres, pero cuando se compara por sexos, hay menos de dos veces más varones que mujeres siendo patrones.</w:t>
      </w:r>
    </w:p>
    <w:p w:rsidR="00602DE9" w:rsidRPr="00B519AD" w:rsidRDefault="00602DE9" w:rsidP="001E1C1C">
      <w:pPr>
        <w:jc w:val="both"/>
      </w:pPr>
    </w:p>
    <w:p w:rsidR="00602DE9" w:rsidRDefault="00602DE9" w:rsidP="001E1C1C">
      <w:pPr>
        <w:jc w:val="both"/>
      </w:pPr>
    </w:p>
    <w:p w:rsidR="003D19CB" w:rsidRDefault="00D53EA7" w:rsidP="001E1C1C">
      <w:pPr>
        <w:jc w:val="both"/>
      </w:pPr>
      <w:r>
        <w:lastRenderedPageBreak/>
        <w:t xml:space="preserve">Entre </w:t>
      </w:r>
      <w:r w:rsidR="008C5921">
        <w:t>quienes están trabajando al momento de la  encuesta</w:t>
      </w:r>
      <w:r>
        <w:t>, la distribución en las categorías ocupaciones muestra también diferencias por sexos y niveles de educación.</w:t>
      </w:r>
    </w:p>
    <w:p w:rsidR="007C181B" w:rsidRDefault="007C181B" w:rsidP="001E1C1C">
      <w:pPr>
        <w:jc w:val="both"/>
      </w:pPr>
    </w:p>
    <w:p w:rsidR="007C181B" w:rsidRDefault="007C181B" w:rsidP="001E1C1C">
      <w:pPr>
        <w:jc w:val="both"/>
      </w:pPr>
      <w:r>
        <w:rPr>
          <w:noProof/>
          <w:lang w:eastAsia="es-AR"/>
        </w:rPr>
        <w:drawing>
          <wp:inline distT="0" distB="0" distL="0" distR="0">
            <wp:extent cx="5400675" cy="3138170"/>
            <wp:effectExtent l="0" t="0" r="0" b="0"/>
            <wp:docPr id="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a 2018 .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76551D" w:rsidRDefault="0076551D" w:rsidP="001E1C1C">
      <w:pPr>
        <w:jc w:val="both"/>
      </w:pPr>
    </w:p>
    <w:p w:rsidR="00DF1C0A" w:rsidRDefault="00B456BC" w:rsidP="001E1C1C">
      <w:pPr>
        <w:jc w:val="both"/>
      </w:pPr>
      <w:r>
        <w:t xml:space="preserve">Las proporciones de asalariados y de patrones crecen junto con el nivel de educación, en detrimento de la actividad por cuenta propia, que es máxima para el nivel </w:t>
      </w:r>
      <w:r w:rsidR="00327BDF">
        <w:t>m</w:t>
      </w:r>
      <w:r>
        <w:t>ás bajo de escolarización. Ese patrón se repite entre varones y mujeres, pero é</w:t>
      </w:r>
      <w:r w:rsidR="005F77D2">
        <w:t>s</w:t>
      </w:r>
      <w:r>
        <w:t>tas últimas muestran una proporción de patrones menor en todos los niveles de educación.</w:t>
      </w:r>
    </w:p>
    <w:p w:rsidR="007822F7" w:rsidRDefault="007822F7" w:rsidP="001E1C1C">
      <w:pPr>
        <w:jc w:val="both"/>
      </w:pPr>
    </w:p>
    <w:p w:rsidR="005F77D2" w:rsidRDefault="00333850" w:rsidP="001E1C1C">
      <w:pPr>
        <w:jc w:val="both"/>
      </w:pPr>
      <w:r>
        <w:t>Precariedad</w:t>
      </w:r>
    </w:p>
    <w:p w:rsidR="007C181B" w:rsidRDefault="006C4E92" w:rsidP="001E1C1C">
      <w:pPr>
        <w:jc w:val="both"/>
      </w:pPr>
      <w:r>
        <w:t>A los fines de este trabajo y a partir de la fuente de datos elegida, se aproxima el concepto de trabajo asalariado precario como aquél en el que el trabajador no dispone, a partir de su empleo</w:t>
      </w:r>
      <w:r w:rsidR="008125D9">
        <w:t>,</w:t>
      </w:r>
      <w:r>
        <w:t xml:space="preserve"> de vacaciones pagas, aguinaldo, días pagos por enfermedad ni obra social. En el conjunto de los asalariados, esta condición afecta, en 2018 al 20% de los varones y 23% de las mujeres, con diferencias según nivel de educación:</w:t>
      </w:r>
    </w:p>
    <w:p w:rsidR="006C4E92" w:rsidRDefault="00300915" w:rsidP="001E1C1C">
      <w:pPr>
        <w:jc w:val="both"/>
      </w:pPr>
      <w:r>
        <w:rPr>
          <w:noProof/>
          <w:lang w:eastAsia="es-AR"/>
        </w:rPr>
        <w:lastRenderedPageBreak/>
        <w:drawing>
          <wp:inline distT="0" distB="0" distL="0" distR="0">
            <wp:extent cx="5400675" cy="3138170"/>
            <wp:effectExtent l="0" t="0" r="0" b="0"/>
            <wp:docPr id="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ariedad 2018 .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6C4E92" w:rsidRDefault="006C4E92" w:rsidP="001E1C1C">
      <w:pPr>
        <w:jc w:val="both"/>
      </w:pPr>
    </w:p>
    <w:p w:rsidR="006C4E92" w:rsidRDefault="00333850" w:rsidP="001E1C1C">
      <w:pPr>
        <w:jc w:val="both"/>
      </w:pPr>
      <w:r>
        <w:t xml:space="preserve">Se </w:t>
      </w:r>
      <w:r w:rsidR="006C4E92">
        <w:t xml:space="preserve">observa una tendencia decreciente a medida que aumenta el nivel educativo, pero con anomalías en los niveles incompletos. Esto </w:t>
      </w:r>
      <w:r w:rsidR="001C0DEB">
        <w:t xml:space="preserve">sugiere que </w:t>
      </w:r>
      <w:r w:rsidR="006C4E92">
        <w:t xml:space="preserve">el trabajo </w:t>
      </w:r>
      <w:r w:rsidR="001C0DEB">
        <w:t>sin beneficios sociales</w:t>
      </w:r>
      <w:r w:rsidR="006C4E92">
        <w:t xml:space="preserve"> afecta en mayor grado a quienes están insertos en el sistema educativo.</w:t>
      </w:r>
      <w:r w:rsidR="001C0DEB">
        <w:t xml:space="preserve"> El único nivel de educación en que la proporción de trabajadores precarios es menor entre las mujeres, es “sin instrucción”.</w:t>
      </w:r>
    </w:p>
    <w:p w:rsidR="006C4E92" w:rsidRDefault="006C4E92" w:rsidP="001E1C1C">
      <w:pPr>
        <w:jc w:val="both"/>
      </w:pPr>
    </w:p>
    <w:p w:rsidR="00D53EA7" w:rsidRDefault="00DF1C0A" w:rsidP="001E1C1C">
      <w:pPr>
        <w:jc w:val="both"/>
      </w:pPr>
      <w:r>
        <w:t>Diferencias salariales</w:t>
      </w:r>
    </w:p>
    <w:p w:rsidR="000923A2" w:rsidRDefault="003D6256" w:rsidP="001E1C1C">
      <w:pPr>
        <w:jc w:val="both"/>
      </w:pPr>
      <w:r>
        <w:t>La discriminación salarial se refiere a la existencia de diferencias en la remuneración que reciben personas que hacen la misma tarea, diferencias que solo pueden explicarse por características de las personas: pertenencia étnica, nacional o religiosa, género, clase social</w:t>
      </w:r>
      <w:r w:rsidR="00DF1C0A">
        <w:t xml:space="preserve"> y no por características vinculadas a la ocupación, como el tiempo que se dedica al trabajo o el nivel de educación</w:t>
      </w:r>
      <w:r>
        <w:t xml:space="preserve">. El análisis de estas diferencias no puede hacerse de manera general </w:t>
      </w:r>
      <w:r w:rsidR="000923A2">
        <w:t xml:space="preserve">porque, debido a la diversidad de actividades económicas que existen y la imposibilidad de registrarlas de manera exacta, </w:t>
      </w:r>
      <w:r>
        <w:t xml:space="preserve">no se cuenta con datos suficientes de personas que hagan idénticas tareas, </w:t>
      </w:r>
      <w:r w:rsidR="000923A2">
        <w:t xml:space="preserve">que serían necesarios para </w:t>
      </w:r>
      <w:r>
        <w:t>comparar su</w:t>
      </w:r>
      <w:r w:rsidR="000923A2">
        <w:t>s remuneracio</w:t>
      </w:r>
      <w:r>
        <w:t>n</w:t>
      </w:r>
      <w:r w:rsidR="000923A2">
        <w:t>es</w:t>
      </w:r>
      <w:r>
        <w:t xml:space="preserve">. </w:t>
      </w:r>
      <w:r w:rsidR="000923A2">
        <w:t>Por otro lado, un conjunto de características individuales que podrían se</w:t>
      </w:r>
      <w:r w:rsidR="00DE0484">
        <w:t>r</w:t>
      </w:r>
      <w:r w:rsidR="000923A2">
        <w:t xml:space="preserve"> motivo de discriminación, no constituyen categorías censales ni de registro estadístic</w:t>
      </w:r>
      <w:r w:rsidR="00DF1C0A">
        <w:t>o</w:t>
      </w:r>
      <w:r w:rsidR="000923A2">
        <w:t xml:space="preserve">, como la etnia, </w:t>
      </w:r>
      <w:r w:rsidR="00DF1C0A">
        <w:t xml:space="preserve">la </w:t>
      </w:r>
      <w:r w:rsidR="000923A2">
        <w:t>religión</w:t>
      </w:r>
      <w:r w:rsidR="00DF1C0A">
        <w:t>,</w:t>
      </w:r>
      <w:r w:rsidR="000923A2">
        <w:t xml:space="preserve"> </w:t>
      </w:r>
      <w:r w:rsidR="00DF1C0A">
        <w:t>o la</w:t>
      </w:r>
      <w:r w:rsidR="000923A2">
        <w:t xml:space="preserve"> orientación sexual.</w:t>
      </w:r>
    </w:p>
    <w:p w:rsidR="00B519AD" w:rsidRDefault="005A4A7C" w:rsidP="001E1C1C">
      <w:pPr>
        <w:jc w:val="both"/>
      </w:pPr>
      <w:r>
        <w:t xml:space="preserve">Para la Argentina, los datos oficiales permiten una aproximación al problema de la discriminación por género. </w:t>
      </w:r>
      <w:r w:rsidR="00B519AD">
        <w:t>El  INDEC ofrece todos los trimestre</w:t>
      </w:r>
      <w:r>
        <w:t>s,</w:t>
      </w:r>
      <w:r w:rsidR="00B519AD">
        <w:t xml:space="preserve"> el Informe Técnico </w:t>
      </w:r>
      <w:r w:rsidR="00B519AD" w:rsidRPr="00B519AD">
        <w:rPr>
          <w:i/>
        </w:rPr>
        <w:t>Evolución de la distribución del ingreso (EPH)</w:t>
      </w:r>
      <w:r w:rsidR="00B519AD">
        <w:t xml:space="preserve">. </w:t>
      </w:r>
      <w:r w:rsidR="00577CEB">
        <w:fldChar w:fldCharType="begin" w:fldLock="1"/>
      </w:r>
      <w:r w:rsidR="00EF67FB">
        <w:instrText>ADDIN CSL_CITATION {"citationItems":[{"id":"ITEM-1","itemData":{"author":[{"dropping-particle":"","family":"INDEC","given":"","non-dropping-particle":"","parse-names":false,"suffix":""}],"id":"ITEM-1","issued":{"date-parts":[["2018"]]},"publisher-place":"Buenos Aires","title":"Evolución de la distribución del ingreso (EPH) Primer trimestre de 2018","type":"report"},"uris":["http://www.mendeley.com/documents/?uuid=6181c8bf-b81a-3e07-a6d0-37523489196a"]}],"mendeley":{"formattedCitation":"(INDEC, 2018)","plainTextFormattedCitation":"(INDEC, 2018)","previouslyFormattedCitation":"(INDEC, 2018)"},"properties":{"noteIndex":0},"schema":"https://github.com/citation-style-language/schema/raw/master/csl-citation.json"}</w:instrText>
      </w:r>
      <w:r w:rsidR="00577CEB">
        <w:fldChar w:fldCharType="separate"/>
      </w:r>
      <w:r w:rsidR="00D270E8" w:rsidRPr="00D270E8">
        <w:rPr>
          <w:noProof/>
        </w:rPr>
        <w:t>(INDEC, 2018)</w:t>
      </w:r>
      <w:r w:rsidR="00577CEB">
        <w:fldChar w:fldCharType="end"/>
      </w:r>
      <w:r w:rsidR="00F43AE9">
        <w:t xml:space="preserve">. </w:t>
      </w:r>
      <w:r w:rsidR="00B519AD">
        <w:t>Allí se publica</w:t>
      </w:r>
      <w:r>
        <w:t>n indicadores para el</w:t>
      </w:r>
      <w:r w:rsidR="00F660F7">
        <w:t xml:space="preserve"> análisis de </w:t>
      </w:r>
      <w:r>
        <w:t xml:space="preserve">los </w:t>
      </w:r>
      <w:r w:rsidR="00F660F7">
        <w:t>ingresos</w:t>
      </w:r>
      <w:r>
        <w:t xml:space="preserve"> según </w:t>
      </w:r>
      <w:proofErr w:type="spellStart"/>
      <w:r>
        <w:t>deciles</w:t>
      </w:r>
      <w:proofErr w:type="spellEnd"/>
      <w:r>
        <w:t xml:space="preserve"> y según sexos</w:t>
      </w:r>
      <w:r w:rsidR="00B519AD">
        <w:t xml:space="preserve">. Del cuadro 4 </w:t>
      </w:r>
      <w:r w:rsidR="005503FA">
        <w:t xml:space="preserve">que muestra ese informe se concluye </w:t>
      </w:r>
      <w:r w:rsidR="00791369">
        <w:t>que</w:t>
      </w:r>
      <w:r w:rsidR="00DA5F72">
        <w:t>, de</w:t>
      </w:r>
      <w:r w:rsidR="00791369">
        <w:t xml:space="preserve"> los </w:t>
      </w:r>
      <w:r w:rsidR="00FA0933">
        <w:t xml:space="preserve">ingresos totales </w:t>
      </w:r>
      <w:r w:rsidR="00DA5F72">
        <w:t xml:space="preserve">de la población que los tiene, </w:t>
      </w:r>
      <w:r w:rsidR="00FA0933">
        <w:t>las mujeres</w:t>
      </w:r>
      <w:r w:rsidR="00DA5F72">
        <w:t xml:space="preserve"> reciben un 42,5% y los varones el resto. Esto indica una brecha de ingreso de</w:t>
      </w:r>
      <w:r w:rsidR="007C5D92">
        <w:t xml:space="preserve"> 26</w:t>
      </w:r>
      <w:r w:rsidR="007175F0">
        <w:t>%, es decir, que las mujeres, considerando los ingresos individuales totales, reciben el 74% de lo que reciben sus pares masculinos.</w:t>
      </w:r>
    </w:p>
    <w:p w:rsidR="00F64B4D" w:rsidRDefault="00791369" w:rsidP="001E1C1C">
      <w:pPr>
        <w:jc w:val="both"/>
      </w:pPr>
      <w:r>
        <w:lastRenderedPageBreak/>
        <w:t xml:space="preserve">En cuanto al peso relativo de las mujeres en cada </w:t>
      </w:r>
      <w:proofErr w:type="spellStart"/>
      <w:r>
        <w:t>decil</w:t>
      </w:r>
      <w:proofErr w:type="spellEnd"/>
      <w:r>
        <w:t xml:space="preserve"> de ingresos, se observa  </w:t>
      </w:r>
      <w:r w:rsidR="00F64B4D">
        <w:t xml:space="preserve">su </w:t>
      </w:r>
      <w:proofErr w:type="spellStart"/>
      <w:r w:rsidR="00F64B4D">
        <w:t>sobrerepresentación</w:t>
      </w:r>
      <w:proofErr w:type="spellEnd"/>
      <w:r w:rsidR="00F64B4D">
        <w:t xml:space="preserve"> en los grupos de menores ingresos:</w:t>
      </w:r>
    </w:p>
    <w:p w:rsidR="005503FA" w:rsidRDefault="005503FA" w:rsidP="001E1C1C">
      <w:pPr>
        <w:jc w:val="both"/>
      </w:pPr>
    </w:p>
    <w:p w:rsidR="005503FA" w:rsidRDefault="00F64B4D" w:rsidP="001E1C1C">
      <w:pPr>
        <w:jc w:val="both"/>
      </w:pPr>
      <w:r>
        <w:rPr>
          <w:noProof/>
          <w:lang w:eastAsia="es-AR"/>
        </w:rPr>
        <w:drawing>
          <wp:inline distT="0" distB="0" distL="0" distR="0">
            <wp:extent cx="5400675" cy="3138170"/>
            <wp:effectExtent l="0" t="0" r="0" b="0"/>
            <wp:docPr id="5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ciondecil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5503FA" w:rsidRDefault="005503FA" w:rsidP="001E1C1C">
      <w:pPr>
        <w:jc w:val="both"/>
      </w:pPr>
    </w:p>
    <w:p w:rsidR="00791369" w:rsidRDefault="00C126DA" w:rsidP="001E1C1C">
      <w:pPr>
        <w:jc w:val="both"/>
      </w:pPr>
      <w:r>
        <w:t>El 10% de la población con menores ingresos está compuesto por un 72% de mujeres, mientras que en el correspondiente al 10% de mayores ingresos, las mujeres solo</w:t>
      </w:r>
      <w:r w:rsidR="00E27D0A">
        <w:t xml:space="preserve"> </w:t>
      </w:r>
      <w:r>
        <w:t>representan el 37%</w:t>
      </w:r>
      <w:r w:rsidR="00E354D9">
        <w:t>.</w:t>
      </w:r>
    </w:p>
    <w:p w:rsidR="00E354D9" w:rsidRDefault="00F43AE9" w:rsidP="001E1C1C">
      <w:pPr>
        <w:jc w:val="both"/>
      </w:pPr>
      <w:r>
        <w:t xml:space="preserve">También </w:t>
      </w:r>
      <w:r w:rsidR="00587C6C">
        <w:t>puede leerse d</w:t>
      </w:r>
      <w:r>
        <w:t>el</w:t>
      </w:r>
      <w:r w:rsidR="00E354D9">
        <w:t xml:space="preserve"> cuadro</w:t>
      </w:r>
      <w:r>
        <w:t xml:space="preserve"> 4 de </w:t>
      </w:r>
      <w:r w:rsidR="00587C6C">
        <w:t>INDEC</w:t>
      </w:r>
      <w:r>
        <w:t xml:space="preserve"> </w:t>
      </w:r>
      <w:r w:rsidR="00587C6C">
        <w:t>(</w:t>
      </w:r>
      <w:r>
        <w:t>2018)</w:t>
      </w:r>
      <w:r w:rsidR="00E354D9">
        <w:t xml:space="preserve"> que el ingreso medio por </w:t>
      </w:r>
      <w:proofErr w:type="spellStart"/>
      <w:r w:rsidR="00E354D9">
        <w:t>decil</w:t>
      </w:r>
      <w:proofErr w:type="spellEnd"/>
      <w:r w:rsidR="00E354D9">
        <w:t xml:space="preserve"> de las mujeres llega a estar un 10% </w:t>
      </w:r>
      <w:r w:rsidR="00E27D0A">
        <w:t>por debaj</w:t>
      </w:r>
      <w:r w:rsidR="00E354D9">
        <w:t>o del de los varones.</w:t>
      </w:r>
    </w:p>
    <w:p w:rsidR="003410F7" w:rsidRDefault="003410F7" w:rsidP="001E1C1C">
      <w:pPr>
        <w:jc w:val="both"/>
      </w:pPr>
    </w:p>
    <w:p w:rsidR="00DE0484" w:rsidRDefault="00E27D0A" w:rsidP="001E1C1C">
      <w:pPr>
        <w:jc w:val="both"/>
      </w:pPr>
      <w:r>
        <w:t xml:space="preserve">Sin embargo hay un conjunto de factores que pueden incidir en las diferencias que se observan, por lo que es necesario realizar las comparaciones de manera más precisa. </w:t>
      </w:r>
      <w:r w:rsidR="00DF1C0A">
        <w:t>En esta parte del análisis</w:t>
      </w:r>
      <w:r w:rsidR="0081712D">
        <w:t xml:space="preserve"> se </w:t>
      </w:r>
      <w:r>
        <w:t xml:space="preserve">pone la atención solo en </w:t>
      </w:r>
      <w:r w:rsidR="0081712D">
        <w:t>los ingresos salariales mensuales de varones y mujeres</w:t>
      </w:r>
      <w:r w:rsidR="00DF1C0A">
        <w:t xml:space="preserve"> que se desempeñen laboralmente en relación de dependencia</w:t>
      </w:r>
      <w:r w:rsidR="00DE0484">
        <w:t xml:space="preserve">. Este recorte de la población ocupada se debe a que consideramos </w:t>
      </w:r>
      <w:r w:rsidR="0053243E">
        <w:t xml:space="preserve">como dos problemas distintos, por un lado </w:t>
      </w:r>
      <w:r w:rsidR="00DE0484">
        <w:t>la discriminación en la remuneración que los empleadores pagan</w:t>
      </w:r>
      <w:r w:rsidR="00396F4E">
        <w:t xml:space="preserve">, y por otro, </w:t>
      </w:r>
      <w:r w:rsidR="00DE0484">
        <w:t xml:space="preserve">el ingreso que pueden obtener </w:t>
      </w:r>
      <w:r w:rsidR="00D76245">
        <w:t>empresario</w:t>
      </w:r>
      <w:r w:rsidR="00DE0484">
        <w:t>s o cuentapropistas</w:t>
      </w:r>
      <w:r w:rsidR="0053243E">
        <w:t xml:space="preserve"> varones y mujeres</w:t>
      </w:r>
      <w:r w:rsidR="00DE0484">
        <w:t>.</w:t>
      </w:r>
      <w:r w:rsidR="00DF1C0A">
        <w:t xml:space="preserve"> El primero es un problema de discrecionalidad por parte de los empleadores</w:t>
      </w:r>
      <w:r w:rsidR="00396F4E">
        <w:t xml:space="preserve">, sea en lo que se paga por el mismo trabajo o por </w:t>
      </w:r>
      <w:r w:rsidR="00EF67FB">
        <w:t>menor</w:t>
      </w:r>
      <w:r w:rsidR="00396F4E">
        <w:t xml:space="preserve"> acceso a cargos mejor remunerados</w:t>
      </w:r>
      <w:r w:rsidR="00EF67FB">
        <w:t xml:space="preserve"> por parte de las  mujeres</w:t>
      </w:r>
      <w:r w:rsidR="00396F4E">
        <w:t>;</w:t>
      </w:r>
      <w:r w:rsidR="00DF1C0A">
        <w:t xml:space="preserve"> </w:t>
      </w:r>
      <w:r w:rsidR="00396F4E">
        <w:t xml:space="preserve">mientras que </w:t>
      </w:r>
      <w:r w:rsidR="00DF1C0A">
        <w:t>el segundo trata sobre las oportunidades distintas que tendrían varones y mujeres que realizan actividades económicas independientes.</w:t>
      </w:r>
      <w:r w:rsidR="00DE0484">
        <w:t xml:space="preserve"> </w:t>
      </w:r>
    </w:p>
    <w:p w:rsidR="003410F7" w:rsidRDefault="0039192E" w:rsidP="001E1C1C">
      <w:pPr>
        <w:jc w:val="both"/>
      </w:pPr>
      <w:r>
        <w:t>La primera aproximación consiste en comparar los ingresos salariales medios de varones y mujeres, controlados por nivel de educación.</w:t>
      </w:r>
    </w:p>
    <w:p w:rsidR="003A77A2" w:rsidRDefault="003A77A2" w:rsidP="001E1C1C">
      <w:pPr>
        <w:jc w:val="both"/>
      </w:pPr>
      <w:r>
        <w:rPr>
          <w:noProof/>
          <w:lang w:eastAsia="es-AR"/>
        </w:rPr>
        <w:lastRenderedPageBreak/>
        <w:drawing>
          <wp:inline distT="0" distB="0" distL="0" distR="0">
            <wp:extent cx="5400675" cy="3138170"/>
            <wp:effectExtent l="0" t="0" r="0" b="0"/>
            <wp:docPr id="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erenciasalariobruto 2018 .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3410F7" w:rsidRDefault="003410F7" w:rsidP="001E1C1C">
      <w:pPr>
        <w:jc w:val="both"/>
      </w:pPr>
    </w:p>
    <w:p w:rsidR="0039192E" w:rsidRDefault="00261C8E" w:rsidP="001E1C1C">
      <w:pPr>
        <w:jc w:val="both"/>
      </w:pPr>
      <w:r>
        <w:t>Los intervalos de error muestran que, al 95% de confianza, las diferencias que se observan a favor de los varones son significativas, salvo para el nivel de instrucción más bajo, pero esto puede deberse a una pequeña cantidad de casos en ese grupo.</w:t>
      </w:r>
    </w:p>
    <w:p w:rsidR="00C04FE3" w:rsidRDefault="00C04FE3" w:rsidP="001E1C1C">
      <w:pPr>
        <w:jc w:val="both"/>
      </w:pPr>
      <w:r>
        <w:t>Tres elementos sobresalen de este gráfico: la tendencia creciente de las medias de ingreso conforme aumenta el nivel educativo, la diferencia a favor de los varones en todos los niveles, y la magnitud de esa diferencia</w:t>
      </w:r>
      <w:r w:rsidR="004B6175">
        <w:t xml:space="preserve">, por medio de </w:t>
      </w:r>
      <w:r>
        <w:t>las barras de error. Solo en el más bajo de los niveles educativos (nunca asistió), vemos que  los intervalos se superponen, lo que indica que la diferencia en la remuneración promedio de varones y mujeres no es significativa.</w:t>
      </w:r>
      <w:r w:rsidR="002E2C18">
        <w:t xml:space="preserve"> </w:t>
      </w:r>
      <w:r w:rsidR="00EF67FB">
        <w:t>E</w:t>
      </w:r>
      <w:r w:rsidR="002E2C18">
        <w:t>ntre los asalariados que tienen estudios universitarios completos, la diferencia en detrimento de las mujeres es del 24%.</w:t>
      </w:r>
    </w:p>
    <w:p w:rsidR="00C04FE3" w:rsidRDefault="00C04FE3" w:rsidP="001E1C1C">
      <w:pPr>
        <w:jc w:val="both"/>
      </w:pPr>
    </w:p>
    <w:p w:rsidR="00261C8E" w:rsidRDefault="00C04FE3" w:rsidP="001E1C1C">
      <w:pPr>
        <w:jc w:val="both"/>
      </w:pPr>
      <w:r>
        <w:t>No obstante, l</w:t>
      </w:r>
      <w:r w:rsidR="00261C8E">
        <w:t>os promedios no reflejan con precisión las variaciones salariales, debido a la alta heterogeneidad, aun al interior de cada grupo de nivel de educación. Para ponerla de manifiesto, el siguiente gráfico muestra cuartiles y medianas de los grupos.</w:t>
      </w:r>
    </w:p>
    <w:p w:rsidR="00DB5244" w:rsidRDefault="00DB5244" w:rsidP="001E1C1C">
      <w:pPr>
        <w:jc w:val="both"/>
      </w:pPr>
    </w:p>
    <w:p w:rsidR="00DB5244" w:rsidRDefault="00DB5244" w:rsidP="001E1C1C">
      <w:pPr>
        <w:jc w:val="both"/>
      </w:pPr>
      <w:r>
        <w:rPr>
          <w:noProof/>
          <w:lang w:eastAsia="es-AR"/>
        </w:rPr>
        <w:lastRenderedPageBreak/>
        <w:drawing>
          <wp:inline distT="0" distB="0" distL="0" distR="0">
            <wp:extent cx="5400675" cy="3138170"/>
            <wp:effectExtent l="0" t="0" r="0" b="0"/>
            <wp:docPr id="5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s 2018 .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6715CD" w:rsidRDefault="006715CD" w:rsidP="001E1C1C">
      <w:pPr>
        <w:jc w:val="both"/>
      </w:pPr>
    </w:p>
    <w:p w:rsidR="00261C8E" w:rsidRDefault="007B0C19" w:rsidP="001E1C1C">
      <w:pPr>
        <w:jc w:val="both"/>
      </w:pPr>
      <w:r>
        <w:t xml:space="preserve">En esta representación las diferencias se ven con menos claridad, </w:t>
      </w:r>
      <w:r w:rsidR="00AB3070">
        <w:t xml:space="preserve">a causa de los valores extremos, </w:t>
      </w:r>
      <w:r>
        <w:t>pero se observa mejor la variabilidad de los ingresos</w:t>
      </w:r>
      <w:r w:rsidR="00E06529">
        <w:t xml:space="preserve"> dentro de cada grupo de educación y sexo</w:t>
      </w:r>
      <w:r>
        <w:t>.</w:t>
      </w:r>
    </w:p>
    <w:p w:rsidR="00AB3070" w:rsidRDefault="00AB3070" w:rsidP="001E1C1C">
      <w:pPr>
        <w:jc w:val="both"/>
      </w:pPr>
    </w:p>
    <w:p w:rsidR="00F21A8E" w:rsidRDefault="00646A3F" w:rsidP="001E1C1C">
      <w:pPr>
        <w:jc w:val="both"/>
      </w:pPr>
      <w:r>
        <w:t xml:space="preserve">La tendencia central que está aquí expresada en la mediana (la mitad de los individuos de cada grupo tiene ingresos salariales por debajo de ese valor). Esa medida sigue mostrando la diferencia en favor de los varones, pero ahora se ven los matices que genera la marcada dispersión de los ingresos salariales, tanto para varones como para mujeres en todos los niveles educativos. </w:t>
      </w:r>
    </w:p>
    <w:p w:rsidR="00F21A8E" w:rsidRDefault="00F21A8E" w:rsidP="001E1C1C">
      <w:pPr>
        <w:jc w:val="both"/>
      </w:pPr>
    </w:p>
    <w:p w:rsidR="00F21A8E" w:rsidRDefault="00F21A8E" w:rsidP="001E1C1C">
      <w:pPr>
        <w:jc w:val="both"/>
      </w:pPr>
      <w:r>
        <w:t>Uno de los modos en que puede explicarse la diferencia salarial entre varones y mujeres es el pago diferenciado por el mismo trabajo. Para ver este efecto, se separa por sector de actividad, ya que en el sector estatal las remuneraciones para cada puesto están establecidas y no pueden diferenciarse según se trate de trabajadores varones o mujeres. Así, el peso explicativo de la discriminación salarial se incrementaría si las diferencias dejaran de observarse en el sector estatal.</w:t>
      </w:r>
    </w:p>
    <w:p w:rsidR="00F21A8E" w:rsidRDefault="00F21A8E" w:rsidP="001E1C1C">
      <w:pPr>
        <w:jc w:val="both"/>
      </w:pPr>
      <w:r>
        <w:rPr>
          <w:noProof/>
          <w:lang w:eastAsia="es-AR"/>
        </w:rPr>
        <w:lastRenderedPageBreak/>
        <w:drawing>
          <wp:inline distT="0" distB="0" distL="0" distR="0">
            <wp:extent cx="5400675" cy="3138170"/>
            <wp:effectExtent l="0" t="0" r="0" b="0"/>
            <wp:docPr id="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salestatal 2018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2F7E85" w:rsidRDefault="002F7E85" w:rsidP="001E1C1C">
      <w:pPr>
        <w:jc w:val="both"/>
        <w:rPr>
          <w:noProof/>
          <w:lang w:eastAsia="es-AR"/>
        </w:rPr>
      </w:pPr>
    </w:p>
    <w:p w:rsidR="002C54F7" w:rsidRDefault="002C54F7" w:rsidP="001E1C1C">
      <w:pPr>
        <w:jc w:val="both"/>
      </w:pPr>
      <w:r>
        <w:rPr>
          <w:noProof/>
          <w:lang w:eastAsia="es-AR"/>
        </w:rPr>
        <w:drawing>
          <wp:inline distT="0" distB="0" distL="0" distR="0">
            <wp:extent cx="5400675" cy="3138170"/>
            <wp:effectExtent l="0" t="0" r="0" b="0"/>
            <wp:docPr id="5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salprivado 2018 .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2C54F7" w:rsidRDefault="002C54F7" w:rsidP="001E1C1C">
      <w:pPr>
        <w:jc w:val="both"/>
      </w:pPr>
    </w:p>
    <w:p w:rsidR="003C0078" w:rsidRDefault="00BE7F55" w:rsidP="001E1C1C">
      <w:pPr>
        <w:jc w:val="both"/>
      </w:pPr>
      <w:r>
        <w:t xml:space="preserve">Se observa que </w:t>
      </w:r>
      <w:r w:rsidR="003C0078">
        <w:t xml:space="preserve">la diferencia </w:t>
      </w:r>
      <w:r>
        <w:t xml:space="preserve">persiste en </w:t>
      </w:r>
      <w:r w:rsidR="002C54F7">
        <w:t xml:space="preserve">el </w:t>
      </w:r>
      <w:r>
        <w:t>sector</w:t>
      </w:r>
      <w:r w:rsidR="002C54F7">
        <w:t xml:space="preserve"> estatal</w:t>
      </w:r>
      <w:r>
        <w:t>, pero en menor magnitud que en el privado</w:t>
      </w:r>
      <w:r w:rsidR="002C54F7">
        <w:t xml:space="preserve">. </w:t>
      </w:r>
      <w:r w:rsidR="000066D1">
        <w:t xml:space="preserve">En el máximo nivel de educación, la diferencia </w:t>
      </w:r>
      <w:r w:rsidR="00EF67FB">
        <w:t xml:space="preserve">de salario promedio </w:t>
      </w:r>
      <w:r w:rsidR="009767EF">
        <w:t xml:space="preserve">entre mujeres y varones </w:t>
      </w:r>
      <w:r w:rsidR="000066D1">
        <w:t>es</w:t>
      </w:r>
      <w:r w:rsidR="00EF67FB">
        <w:t xml:space="preserve"> de -19%</w:t>
      </w:r>
      <w:r w:rsidR="009767EF">
        <w:t>,</w:t>
      </w:r>
      <w:r w:rsidR="000066D1">
        <w:t xml:space="preserve"> </w:t>
      </w:r>
      <w:r w:rsidR="002E30E3">
        <w:t>mientras que en</w:t>
      </w:r>
      <w:r w:rsidR="009767EF">
        <w:t xml:space="preserve"> </w:t>
      </w:r>
      <w:r w:rsidR="00502CF2">
        <w:t xml:space="preserve">el sector </w:t>
      </w:r>
      <w:r w:rsidR="009767EF">
        <w:t>privado</w:t>
      </w:r>
      <w:r w:rsidR="002E30E3">
        <w:t xml:space="preserve"> asciende a -</w:t>
      </w:r>
      <w:r w:rsidR="009767EF">
        <w:t>32%.</w:t>
      </w:r>
      <w:r w:rsidR="00502CF2">
        <w:t xml:space="preserve"> </w:t>
      </w:r>
      <w:r w:rsidR="009767EF">
        <w:t>Si en el sector privado existe</w:t>
      </w:r>
      <w:r w:rsidR="00502CF2">
        <w:t xml:space="preserve"> esa diferencia de pago por el mismo trabajo, su efecto es pequeño</w:t>
      </w:r>
      <w:r w:rsidR="009767EF">
        <w:t>; ya que una parte de esa diferencia se mantiene entre los asalariados estatales</w:t>
      </w:r>
      <w:r w:rsidR="00502CF2">
        <w:t xml:space="preserve">. </w:t>
      </w:r>
      <w:r w:rsidR="002E30E3">
        <w:t>Pero sí resulta posible</w:t>
      </w:r>
      <w:r w:rsidR="00502CF2">
        <w:t xml:space="preserve"> que haya, en ambos sectores</w:t>
      </w:r>
      <w:r w:rsidR="002E30E3">
        <w:t>,</w:t>
      </w:r>
      <w:r w:rsidR="00502CF2">
        <w:t xml:space="preserve"> acceso diferencial a los cargos mejor remunerados </w:t>
      </w:r>
      <w:r w:rsidR="003C0078">
        <w:t>(efecto techo de cristal).</w:t>
      </w:r>
    </w:p>
    <w:p w:rsidR="00584B90" w:rsidRDefault="00E06529" w:rsidP="001E1C1C">
      <w:pPr>
        <w:jc w:val="both"/>
      </w:pPr>
      <w:r>
        <w:t>U</w:t>
      </w:r>
      <w:r w:rsidR="00584B90">
        <w:t xml:space="preserve">na </w:t>
      </w:r>
      <w:r w:rsidR="000E41E4">
        <w:t xml:space="preserve">parte </w:t>
      </w:r>
      <w:r>
        <w:t xml:space="preserve">importante </w:t>
      </w:r>
      <w:r w:rsidR="000E41E4">
        <w:t xml:space="preserve">de la </w:t>
      </w:r>
      <w:r w:rsidR="00584B90">
        <w:t>explicación para las diferencias observadas entre trabajadores de igual nivel de educación, es el tiempo que ocupa la actividad laboral. Para</w:t>
      </w:r>
      <w:r w:rsidR="00584B90" w:rsidRPr="00584B90">
        <w:t xml:space="preserve"> </w:t>
      </w:r>
      <w:r w:rsidR="004C7D28">
        <w:t>c</w:t>
      </w:r>
      <w:r w:rsidR="00584B90">
        <w:t>ontrolar</w:t>
      </w:r>
      <w:r w:rsidR="004C7D28">
        <w:t xml:space="preserve"> según esta variable se calcula el ingreso por hora </w:t>
      </w:r>
      <w:r w:rsidR="004C7D28">
        <w:lastRenderedPageBreak/>
        <w:t>promedio</w:t>
      </w:r>
      <w:r w:rsidR="00AB3070">
        <w:t>, a partir del ingreso salarial y las horas trabajadas</w:t>
      </w:r>
      <w:r w:rsidR="00AB3070" w:rsidRPr="00AB3070">
        <w:t xml:space="preserve"> </w:t>
      </w:r>
      <w:r w:rsidR="00AB3070">
        <w:t>en la semana de referencia</w:t>
      </w:r>
      <w:r w:rsidR="004C7D28">
        <w:t>. Como consecuencia</w:t>
      </w:r>
      <w:r w:rsidR="00B06D73">
        <w:t xml:space="preserve"> de lo indicado en el apartado metodológico</w:t>
      </w:r>
      <w:r w:rsidR="004C7D28">
        <w:t>, el núme</w:t>
      </w:r>
      <w:r w:rsidR="00E40AD8">
        <w:t xml:space="preserve">ro de casos en cada grupo </w:t>
      </w:r>
      <w:r w:rsidR="00C85F93">
        <w:t>es pequeño</w:t>
      </w:r>
      <w:r w:rsidR="00E40AD8">
        <w:t xml:space="preserve">, por </w:t>
      </w:r>
      <w:r w:rsidR="00646A3F">
        <w:t xml:space="preserve">lo que </w:t>
      </w:r>
      <w:r w:rsidR="00E40AD8">
        <w:t>ya no se incluyen en el gráfico los intervalos de confianza.</w:t>
      </w:r>
    </w:p>
    <w:p w:rsidR="00CC2A75" w:rsidRDefault="00CC2A75" w:rsidP="001E1C1C">
      <w:pPr>
        <w:jc w:val="both"/>
      </w:pPr>
      <w:r>
        <w:rPr>
          <w:noProof/>
          <w:lang w:eastAsia="es-AR"/>
        </w:rPr>
        <w:drawing>
          <wp:inline distT="0" distB="0" distL="0" distR="0">
            <wp:extent cx="5400675" cy="3138170"/>
            <wp:effectExtent l="0" t="0" r="0" b="0"/>
            <wp:docPr id="5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salhoramedias 2018 .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0B2AE2" w:rsidRDefault="000B2AE2" w:rsidP="001E1C1C">
      <w:pPr>
        <w:jc w:val="both"/>
      </w:pPr>
    </w:p>
    <w:p w:rsidR="00E40AD8" w:rsidRDefault="002C54F7" w:rsidP="001E1C1C">
      <w:pPr>
        <w:jc w:val="both"/>
      </w:pPr>
      <w:r>
        <w:t>La introducción de las horas trabajadas tiene como efecto que l</w:t>
      </w:r>
      <w:r w:rsidR="000E41E4">
        <w:t xml:space="preserve">as diferencias </w:t>
      </w:r>
      <w:r>
        <w:t>se atenúe</w:t>
      </w:r>
      <w:r w:rsidR="000E41E4">
        <w:t>n</w:t>
      </w:r>
      <w:r w:rsidR="00CC2A75">
        <w:t xml:space="preserve">; ahora entre varones y mujeres la diferencia es de 3%. Esto indica </w:t>
      </w:r>
      <w:r w:rsidR="000E41E4">
        <w:t xml:space="preserve">el valor de </w:t>
      </w:r>
      <w:r>
        <w:t xml:space="preserve">esta componente en la </w:t>
      </w:r>
      <w:r w:rsidR="003975BD">
        <w:t>explicación para las diferencias salariales</w:t>
      </w:r>
      <w:r w:rsidR="00CC2A75">
        <w:t xml:space="preserve">, que </w:t>
      </w:r>
      <w:r w:rsidR="003975BD">
        <w:t>se deberían</w:t>
      </w:r>
      <w:r w:rsidR="00CC2A75">
        <w:t>,</w:t>
      </w:r>
      <w:r w:rsidR="003975BD">
        <w:t xml:space="preserve"> en parte</w:t>
      </w:r>
      <w:r w:rsidR="00CC2A75">
        <w:t>,</w:t>
      </w:r>
      <w:r w:rsidR="003975BD">
        <w:t xml:space="preserve"> a que las mujeres trabajan, en promedio, menos horas que los varones</w:t>
      </w:r>
      <w:r w:rsidR="00CC2A75">
        <w:t>. L</w:t>
      </w:r>
      <w:r w:rsidR="00363314">
        <w:t xml:space="preserve">os datos de </w:t>
      </w:r>
      <w:r w:rsidR="004C411D">
        <w:t xml:space="preserve">EPH </w:t>
      </w:r>
      <w:r w:rsidR="00363314">
        <w:t xml:space="preserve">confirman esto, porque para </w:t>
      </w:r>
      <w:r w:rsidR="004C411D">
        <w:t xml:space="preserve">el primer trimestre de 2018 </w:t>
      </w:r>
      <w:r w:rsidR="00363314">
        <w:t>el</w:t>
      </w:r>
      <w:r w:rsidR="004C411D">
        <w:t xml:space="preserve"> promedio de </w:t>
      </w:r>
      <w:r w:rsidR="00363314">
        <w:t xml:space="preserve">horas semanales trabajadas es de </w:t>
      </w:r>
      <w:r w:rsidR="004C411D">
        <w:t>40.0</w:t>
      </w:r>
      <w:r w:rsidR="006C00E1">
        <w:t xml:space="preserve"> </w:t>
      </w:r>
      <w:r w:rsidR="004C411D">
        <w:t>p</w:t>
      </w:r>
      <w:r w:rsidR="006C00E1">
        <w:t xml:space="preserve">ara los varones y </w:t>
      </w:r>
      <w:r w:rsidR="004C411D">
        <w:t>29.7</w:t>
      </w:r>
      <w:r w:rsidR="006C00E1">
        <w:t xml:space="preserve"> para las mujeres</w:t>
      </w:r>
      <w:r w:rsidR="000B2AE2">
        <w:t xml:space="preserve"> (26%</w:t>
      </w:r>
      <w:r w:rsidR="00E06529">
        <w:t xml:space="preserve"> de diferencia</w:t>
      </w:r>
      <w:r w:rsidR="000B2AE2">
        <w:t>)</w:t>
      </w:r>
      <w:r w:rsidR="006C00E1">
        <w:t>.</w:t>
      </w:r>
    </w:p>
    <w:p w:rsidR="00646A3F" w:rsidRDefault="00646A3F" w:rsidP="001E1C1C">
      <w:pPr>
        <w:jc w:val="both"/>
      </w:pPr>
    </w:p>
    <w:p w:rsidR="00194AA2" w:rsidRDefault="00353357" w:rsidP="001E1C1C">
      <w:pPr>
        <w:jc w:val="both"/>
      </w:pPr>
      <w:r>
        <w:t>Observemos c</w:t>
      </w:r>
      <w:r w:rsidR="00E06529">
        <w:t>ó</w:t>
      </w:r>
      <w:r>
        <w:t>mo se matiza esta diferencia cuando se consideran separadamente trabajadores del sector estatal y privado</w:t>
      </w:r>
      <w:r w:rsidR="00E641CC">
        <w:t xml:space="preserve"> (por razones </w:t>
      </w:r>
      <w:r w:rsidR="00E06529">
        <w:t>de legibilidad</w:t>
      </w:r>
      <w:r w:rsidR="00E641CC">
        <w:t xml:space="preserve"> se quitan los rótulos del eje x, que siguen siendo los mismos que en los gráficos anteriores)</w:t>
      </w:r>
      <w:r w:rsidR="00210C50">
        <w:t>.</w:t>
      </w:r>
    </w:p>
    <w:p w:rsidR="00210C50" w:rsidRDefault="00210C50" w:rsidP="001E1C1C">
      <w:pPr>
        <w:jc w:val="both"/>
      </w:pPr>
      <w:r>
        <w:rPr>
          <w:noProof/>
          <w:lang w:eastAsia="es-AR"/>
        </w:rPr>
        <w:lastRenderedPageBreak/>
        <w:drawing>
          <wp:inline distT="0" distB="0" distL="0" distR="0">
            <wp:extent cx="5400675" cy="3138170"/>
            <wp:effectExtent l="0" t="0" r="0" b="0"/>
            <wp:docPr id="5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salhoramediassector 2018 .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B62139" w:rsidRDefault="00B62139" w:rsidP="001E1C1C">
      <w:pPr>
        <w:jc w:val="both"/>
      </w:pPr>
    </w:p>
    <w:p w:rsidR="005E5837" w:rsidRDefault="00F60FBE" w:rsidP="001E1C1C">
      <w:pPr>
        <w:jc w:val="both"/>
      </w:pPr>
      <w:r>
        <w:t>E</w:t>
      </w:r>
      <w:r w:rsidR="00194AA2">
        <w:t xml:space="preserve">l sector estatal o privado en que los asalariados </w:t>
      </w:r>
      <w:r w:rsidR="006C00E1">
        <w:t xml:space="preserve">se </w:t>
      </w:r>
      <w:r w:rsidR="00194AA2">
        <w:t>de</w:t>
      </w:r>
      <w:r w:rsidR="006C00E1">
        <w:t>sempeñan parece ser una fuente d</w:t>
      </w:r>
      <w:r w:rsidR="00194AA2">
        <w:t>e variación, ya que</w:t>
      </w:r>
      <w:r w:rsidR="00E06529">
        <w:t>, por ejemplo</w:t>
      </w:r>
      <w:r w:rsidR="00194AA2">
        <w:t xml:space="preserve"> </w:t>
      </w:r>
      <w:r>
        <w:t>las trabajadora</w:t>
      </w:r>
      <w:r w:rsidR="00194AA2">
        <w:t xml:space="preserve">s </w:t>
      </w:r>
      <w:r w:rsidR="00E06529">
        <w:t xml:space="preserve">con estudios universitarios </w:t>
      </w:r>
      <w:r w:rsidR="00194AA2">
        <w:t>del</w:t>
      </w:r>
      <w:r w:rsidR="000E41E4">
        <w:t xml:space="preserve"> sector </w:t>
      </w:r>
      <w:r w:rsidR="00E06529">
        <w:t xml:space="preserve">estatal </w:t>
      </w:r>
      <w:r>
        <w:t xml:space="preserve">ganan </w:t>
      </w:r>
      <w:r w:rsidR="00E06529">
        <w:t>4</w:t>
      </w:r>
      <w:r>
        <w:t xml:space="preserve">% </w:t>
      </w:r>
      <w:r w:rsidR="00E06529">
        <w:t xml:space="preserve">menos </w:t>
      </w:r>
      <w:r>
        <w:t>que los varones</w:t>
      </w:r>
      <w:r w:rsidR="00E06529">
        <w:t>, diferencia que crece al 9% en el sector privado</w:t>
      </w:r>
      <w:r w:rsidR="006C00E1">
        <w:t>.</w:t>
      </w:r>
    </w:p>
    <w:p w:rsidR="001532F2" w:rsidRDefault="001532F2" w:rsidP="001E1C1C">
      <w:pPr>
        <w:jc w:val="both"/>
      </w:pPr>
    </w:p>
    <w:p w:rsidR="006C00E1" w:rsidRDefault="006C00E1" w:rsidP="001E1C1C">
      <w:pPr>
        <w:jc w:val="both"/>
      </w:pPr>
      <w:r>
        <w:t>Para reducir el efecto de valores extremos, se observan las medianas de los ingresos, que muestran un patrón similar:</w:t>
      </w:r>
    </w:p>
    <w:p w:rsidR="004B5A2D" w:rsidRDefault="004B5A2D" w:rsidP="001E1C1C">
      <w:pPr>
        <w:jc w:val="both"/>
      </w:pPr>
    </w:p>
    <w:p w:rsidR="004B5A2D" w:rsidRDefault="004B5A2D" w:rsidP="001E1C1C">
      <w:pPr>
        <w:jc w:val="both"/>
      </w:pPr>
      <w:r>
        <w:rPr>
          <w:noProof/>
          <w:lang w:eastAsia="es-AR"/>
        </w:rPr>
        <w:drawing>
          <wp:inline distT="0" distB="0" distL="0" distR="0">
            <wp:extent cx="5400675" cy="3138170"/>
            <wp:effectExtent l="0" t="0" r="0" b="0"/>
            <wp:docPr id="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salhoramedianassector 2018 .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6C00E1" w:rsidRDefault="006C00E1" w:rsidP="001E1C1C">
      <w:pPr>
        <w:jc w:val="both"/>
      </w:pPr>
    </w:p>
    <w:p w:rsidR="0083234E" w:rsidRDefault="00E06529" w:rsidP="001E1C1C">
      <w:pPr>
        <w:jc w:val="both"/>
      </w:pPr>
      <w:r>
        <w:t>En los niveles de educación más bajos, las mujeres tienen ingresos salariales levemente superiores a los varones.</w:t>
      </w:r>
    </w:p>
    <w:p w:rsidR="00821749" w:rsidRDefault="00821749" w:rsidP="001E1C1C">
      <w:pPr>
        <w:jc w:val="both"/>
      </w:pPr>
      <w:r>
        <w:lastRenderedPageBreak/>
        <w:t xml:space="preserve">Finalmente, a fin de sintetizar las diferencias, </w:t>
      </w:r>
      <w:r w:rsidR="001174EE">
        <w:t xml:space="preserve">se </w:t>
      </w:r>
      <w:r>
        <w:t xml:space="preserve">muestra el salario promedio por hora de mujeres como proporción del de varones con el mismo nivel de educación. </w:t>
      </w:r>
    </w:p>
    <w:p w:rsidR="006B4CE7" w:rsidRDefault="00F96915" w:rsidP="001E1C1C">
      <w:pPr>
        <w:jc w:val="both"/>
      </w:pPr>
      <w:r>
        <w:rPr>
          <w:noProof/>
          <w:lang w:eastAsia="es-AR"/>
        </w:rPr>
        <w:drawing>
          <wp:inline distT="0" distB="0" distL="0" distR="0">
            <wp:extent cx="5400675" cy="3138170"/>
            <wp:effectExtent l="0" t="0" r="0" b="0"/>
            <wp:docPr id="6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M.a.V 2018 .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6B4CE7" w:rsidRDefault="006B4CE7" w:rsidP="001E1C1C">
      <w:pPr>
        <w:jc w:val="both"/>
      </w:pPr>
    </w:p>
    <w:p w:rsidR="006B4CE7" w:rsidRDefault="006B4CE7" w:rsidP="001E1C1C">
      <w:pPr>
        <w:jc w:val="both"/>
      </w:pPr>
      <w:r>
        <w:t xml:space="preserve">Para hacer </w:t>
      </w:r>
      <w:r w:rsidR="00FB2167">
        <w:t xml:space="preserve">comparables estos resultados </w:t>
      </w:r>
      <w:r w:rsidR="000A7C0B">
        <w:t xml:space="preserve">con </w:t>
      </w:r>
      <w:r w:rsidR="00FB2167">
        <w:t>la definición de OCDE</w:t>
      </w:r>
      <w:r w:rsidR="00CF106A">
        <w:t xml:space="preserve"> </w:t>
      </w:r>
      <w:r w:rsidR="00577CEB">
        <w:fldChar w:fldCharType="begin" w:fldLock="1"/>
      </w:r>
      <w:r w:rsidR="00EF67FB">
        <w:instrText>ADDIN CSL_CITATION {"citationItems":[{"id":"ITEM-1","itemData":{"DOI":"10.1787/9789264179370-en","ISBN":"9789264179363","URL":"http://www.oecd-ilibrary.org/social-issues-migration-health/close-the-gender-gap-now_9789264179370-en","accessed":{"date-parts":[["2018","10","14"]]},"author":[{"dropping-particle":"","family":"OCDE","given":"","non-dropping-particle":"","parse-names":false,"suffix":""}],"id":"ITEM-1","issued":{"date-parts":[["2012","12","17"]]},"publisher":"OECD Publishing","title":"Closing the Gender Gap","type":"webpage"},"uris":["http://www.mendeley.com/documents/?uuid=4f4aac7b-3fc1-36f1-ae9c-14fd25187e48"]}],"mendeley":{"formattedCitation":"(OCDE, 2012)","manualFormatting":"(2012)","plainTextFormattedCitation":"(OCDE, 2012)","previouslyFormattedCitation":"(OCDE, 2012)"},"properties":{"noteIndex":0},"schema":"https://github.com/citation-style-language/schema/raw/master/csl-citation.json"}</w:instrText>
      </w:r>
      <w:r w:rsidR="00577CEB">
        <w:fldChar w:fldCharType="separate"/>
      </w:r>
      <w:r w:rsidR="00CF106A" w:rsidRPr="00CF106A">
        <w:rPr>
          <w:noProof/>
        </w:rPr>
        <w:t>(2012)</w:t>
      </w:r>
      <w:r w:rsidR="00577CEB">
        <w:fldChar w:fldCharType="end"/>
      </w:r>
      <w:r w:rsidR="00FB2167">
        <w:t xml:space="preserve"> </w:t>
      </w:r>
      <w:r w:rsidR="000A7C0B">
        <w:t>, los siguientes son los valores relativos de las diferencias entre medianas de ingresos de varones y mujeres.</w:t>
      </w:r>
    </w:p>
    <w:p w:rsidR="00FB2167" w:rsidRDefault="00FB2167" w:rsidP="001E1C1C">
      <w:pPr>
        <w:jc w:val="both"/>
      </w:pPr>
    </w:p>
    <w:p w:rsidR="000A7C0B" w:rsidRDefault="00FF7964" w:rsidP="001E1C1C">
      <w:pPr>
        <w:jc w:val="both"/>
      </w:pPr>
      <w:r>
        <w:rPr>
          <w:noProof/>
          <w:lang w:eastAsia="es-AR"/>
        </w:rPr>
        <w:t xml:space="preserve"> </w:t>
      </w:r>
      <w:r w:rsidR="000A7C0B">
        <w:rPr>
          <w:noProof/>
          <w:lang w:eastAsia="es-AR"/>
        </w:rPr>
        <w:drawing>
          <wp:inline distT="0" distB="0" distL="0" distR="0">
            <wp:extent cx="5400675" cy="3138170"/>
            <wp:effectExtent l="0" t="0" r="0" b="0"/>
            <wp:docPr id="6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p.OCDE 2018 .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675" cy="3138170"/>
                    </a:xfrm>
                    <a:prstGeom prst="rect">
                      <a:avLst/>
                    </a:prstGeom>
                  </pic:spPr>
                </pic:pic>
              </a:graphicData>
            </a:graphic>
          </wp:inline>
        </w:drawing>
      </w:r>
    </w:p>
    <w:p w:rsidR="006570B4" w:rsidRDefault="006570B4" w:rsidP="001E1C1C">
      <w:pPr>
        <w:jc w:val="both"/>
      </w:pPr>
    </w:p>
    <w:p w:rsidR="00847EF3" w:rsidRDefault="00847EF3" w:rsidP="001E1C1C">
      <w:pPr>
        <w:jc w:val="both"/>
      </w:pPr>
      <w:r>
        <w:t>En ambos gráficos se observa que el nivel educativo más bajo es el único en que el ingreso salarial de las mujeres supera al de los varones.</w:t>
      </w:r>
    </w:p>
    <w:p w:rsidR="00847EF3" w:rsidRDefault="00847EF3" w:rsidP="001E1C1C">
      <w:pPr>
        <w:jc w:val="both"/>
      </w:pPr>
    </w:p>
    <w:p w:rsidR="00044FE7" w:rsidRDefault="00FF7964" w:rsidP="001E1C1C">
      <w:pPr>
        <w:jc w:val="both"/>
      </w:pPr>
      <w:r>
        <w:lastRenderedPageBreak/>
        <w:t>Discusión</w:t>
      </w:r>
    </w:p>
    <w:p w:rsidR="00393A8C" w:rsidRDefault="00044FE7" w:rsidP="001E1C1C">
      <w:pPr>
        <w:jc w:val="both"/>
      </w:pPr>
      <w:r>
        <w:t xml:space="preserve">Varones y mujeres tienen una relación </w:t>
      </w:r>
      <w:r w:rsidR="00FF7964">
        <w:t xml:space="preserve">diferenciada </w:t>
      </w:r>
      <w:r>
        <w:t xml:space="preserve">con el mundo de trabajo. </w:t>
      </w:r>
      <w:r w:rsidR="00383BFF">
        <w:t xml:space="preserve">La participación laboral de las mujeres es menor, es decir tienden más frecuentemente a estar en condición “inactivas”. Parte de la explicación está en las formas de inactividad, algunas de las cuales contienen </w:t>
      </w:r>
      <w:r w:rsidR="000E2390">
        <w:t>más mujeres</w:t>
      </w:r>
      <w:r w:rsidR="00C43A51">
        <w:t xml:space="preserve">; como </w:t>
      </w:r>
      <w:r w:rsidR="000E2390">
        <w:t>estudiantes</w:t>
      </w:r>
      <w:r w:rsidR="00C43A51">
        <w:t xml:space="preserve"> o</w:t>
      </w:r>
      <w:r w:rsidR="000E2390">
        <w:t xml:space="preserve"> jubiladas</w:t>
      </w:r>
      <w:r w:rsidR="00A21BF2">
        <w:t>; sin embargo,</w:t>
      </w:r>
      <w:r w:rsidR="000E2390">
        <w:t xml:space="preserve"> una parte importante tiene origen en la distribución de roles al interior de los hogares.</w:t>
      </w:r>
      <w:r w:rsidR="00976FDA">
        <w:t xml:space="preserve"> Ambos grupos aumenta</w:t>
      </w:r>
      <w:r w:rsidR="00D56DA1">
        <w:t>n</w:t>
      </w:r>
      <w:r w:rsidR="00976FDA">
        <w:t xml:space="preserve"> su actividad laboral con el aumento del nivel de educación</w:t>
      </w:r>
      <w:r w:rsidR="00C43A51">
        <w:t xml:space="preserve">, lo que contradice lo que señala </w:t>
      </w:r>
      <w:r w:rsidR="00577CEB">
        <w:fldChar w:fldCharType="begin" w:fldLock="1"/>
      </w:r>
      <w:r w:rsidR="00C43A51">
        <w:instrText>ADDIN CSL_CITATION {"citationItems":[{"id":"ITEM-1","itemData":{"DOI":"10.1257/000282803321947254","ISSN":"0002-8282","author":[{"dropping-particle":"","family":"O'Neill","given":"June","non-dropping-particle":"","parse-names":false,"suffix":""}],"container-title":"American Economic Review","id":"ITEM-1","issue":"2","issued":{"date-parts":[["2003","4"]]},"page":"309-314","title":"The Gender Gap in Wages, circa 2000","type":"article-journal","volume":"93"},"uris":["http://www.mendeley.com/documents/?uuid=cf025ccd-4929-3902-b962-4c529e79f672"]}],"mendeley":{"formattedCitation":"(O’Neill, 2003)","plainTextFormattedCitation":"(O’Neill, 2003)","previouslyFormattedCitation":"(O’Neill, 2003)"},"properties":{"noteIndex":0},"schema":"https://github.com/citation-style-language/schema/raw/master/csl-citation.json"}</w:instrText>
      </w:r>
      <w:r w:rsidR="00577CEB">
        <w:fldChar w:fldCharType="end"/>
      </w:r>
      <w:r w:rsidR="00577CEB">
        <w:fldChar w:fldCharType="begin" w:fldLock="1"/>
      </w:r>
      <w:r w:rsidR="00344F7F">
        <w:instrText>ADDIN CSL_CITATION {"citationItems":[{"id":"ITEM-1","itemData":{"ISBN":"9789588164373","author":[{"dropping-particle":"","family":"Martínez Gómez","given":"Ciro","non-dropping-particle":"","parse-names":false,"suffix":""}],"container-title":"Estudios a Profundidad de la ENDS","id":"ITEM-1","issued":{"date-parts":[["2013"]]},"publisher":"Profamilia","publisher-place":"Bogotá","title":"Descenso de la fecundidad, participación laboral de la mujer y reducción de la pobreza en Colombia, 1990-2010","type":"chapter"},"uris":["http://www.mendeley.com/documents/?uuid=505a93f6-8886-3697-81dd-8da8b9e2bcfe"]}],"mendeley":{"formattedCitation":"(Martínez Gómez, 2013)","manualFormatting":"Martínez Gómez (2013)","plainTextFormattedCitation":"(Martínez Gómez, 2013)","previouslyFormattedCitation":"(Martínez Gómez, 2013)"},"properties":{"noteIndex":0},"schema":"https://github.com/citation-style-language/schema/raw/master/csl-citation.json"}</w:instrText>
      </w:r>
      <w:r w:rsidR="00577CEB">
        <w:fldChar w:fldCharType="separate"/>
      </w:r>
      <w:r w:rsidR="00C43A51">
        <w:rPr>
          <w:noProof/>
        </w:rPr>
        <w:t>Martínez Gómez</w:t>
      </w:r>
      <w:r w:rsidR="00C43A51" w:rsidRPr="00C43A51">
        <w:rPr>
          <w:noProof/>
        </w:rPr>
        <w:t xml:space="preserve"> </w:t>
      </w:r>
      <w:r w:rsidR="00C43A51">
        <w:rPr>
          <w:noProof/>
        </w:rPr>
        <w:t>(</w:t>
      </w:r>
      <w:r w:rsidR="00C43A51" w:rsidRPr="00C43A51">
        <w:rPr>
          <w:noProof/>
        </w:rPr>
        <w:t>2013)</w:t>
      </w:r>
      <w:r w:rsidR="00577CEB">
        <w:fldChar w:fldCharType="end"/>
      </w:r>
      <w:r w:rsidR="00FF7964">
        <w:t xml:space="preserve"> para Colombia</w:t>
      </w:r>
      <w:r w:rsidR="00344F7F">
        <w:t xml:space="preserve">, pero va en dirección a los resultados de </w:t>
      </w:r>
      <w:r w:rsidR="00344F7F">
        <w:fldChar w:fldCharType="begin" w:fldLock="1"/>
      </w:r>
      <w:r w:rsidR="00344F7F">
        <w:instrText>ADDIN CSL_CITATION {"citationItems":[{"id":"ITEM-1","itemData":{"DOI":"10.2307/1913937","ISSN":"00129682","author":[{"dropping-particle":"","family":"Heckman","given":"James","non-dropping-particle":"","parse-names":false,"suffix":""}],"container-title":"Econometrica","id":"ITEM-1","issue":"4","issued":{"date-parts":[["1974","7"]]},"page":"679","title":"Shadow Prices, Market Wages, and Labor Supply","type":"article-journal","volume":"42"},"uris":["http://www.mendeley.com/documents/?uuid=3c3f7985-4893-35c7-a229-436f89c514c6"]}],"mendeley":{"formattedCitation":"(Heckman, 1974)","plainTextFormattedCitation":"(Heckman, 1974)"},"properties":{"noteIndex":0},"schema":"https://github.com/citation-style-language/schema/raw/master/csl-citation.json"}</w:instrText>
      </w:r>
      <w:r w:rsidR="00344F7F">
        <w:fldChar w:fldCharType="separate"/>
      </w:r>
      <w:r w:rsidR="00344F7F" w:rsidRPr="00344F7F">
        <w:rPr>
          <w:noProof/>
        </w:rPr>
        <w:t>(Heckman, 1974)</w:t>
      </w:r>
      <w:r w:rsidR="00344F7F">
        <w:fldChar w:fldCharType="end"/>
      </w:r>
      <w:r w:rsidR="00A21BF2">
        <w:t>. En el mismo sentido se observa que la mayor participación laboral femenina conforme aumenta el nivel de educación</w:t>
      </w:r>
      <w:r w:rsidR="00976FDA">
        <w:t>.</w:t>
      </w:r>
    </w:p>
    <w:p w:rsidR="00800116" w:rsidRDefault="00393A8C" w:rsidP="001E1C1C">
      <w:pPr>
        <w:jc w:val="both"/>
      </w:pPr>
      <w:r>
        <w:t>En</w:t>
      </w:r>
      <w:r w:rsidR="002D12D7">
        <w:t xml:space="preserve"> el </w:t>
      </w:r>
      <w:r>
        <w:t xml:space="preserve">nivel de </w:t>
      </w:r>
      <w:r w:rsidR="002D12D7">
        <w:t xml:space="preserve">desempleo, </w:t>
      </w:r>
      <w:r>
        <w:t xml:space="preserve">se observa </w:t>
      </w:r>
      <w:r w:rsidR="002D12D7">
        <w:t>que afecta</w:t>
      </w:r>
      <w:r w:rsidR="00606AEE">
        <w:t xml:space="preserve"> en mayor medida a las mujeres</w:t>
      </w:r>
      <w:r>
        <w:t>, pero que el efecto de la educación es sustancialmente más intenso</w:t>
      </w:r>
      <w:r w:rsidR="00606AEE">
        <w:t>.</w:t>
      </w:r>
      <w:r w:rsidR="002902AA">
        <w:t xml:space="preserve"> Así también sucede con las categorías ocupacionales, que muestran una proporción mayor de varones apareciendo como “patrones” y más mujeres como “asalariadas”, pero con un fuerte efecto de la educación, que reduce el peso de la categoría “trabajador por cuenta propia”.</w:t>
      </w:r>
    </w:p>
    <w:p w:rsidR="006570B4" w:rsidRDefault="00800116" w:rsidP="001E1C1C">
      <w:pPr>
        <w:jc w:val="both"/>
      </w:pPr>
      <w:r>
        <w:t>La condición de trabajo precario, está más presente</w:t>
      </w:r>
      <w:r w:rsidR="00983548">
        <w:t xml:space="preserve"> entre las mujeres</w:t>
      </w:r>
    </w:p>
    <w:p w:rsidR="00983548" w:rsidRDefault="00983548" w:rsidP="001E1C1C">
      <w:pPr>
        <w:jc w:val="both"/>
      </w:pPr>
    </w:p>
    <w:p w:rsidR="00983548" w:rsidRDefault="00983548" w:rsidP="001E1C1C">
      <w:pPr>
        <w:jc w:val="both"/>
      </w:pPr>
      <w:r>
        <w:t>En todos los casos, la diferencia por género se achica cuando aumenta el nivel de educación ACÁ AEL PUNTO DE LA DISCUSIÓN</w:t>
      </w:r>
    </w:p>
    <w:p w:rsidR="00FF7964" w:rsidRDefault="00FF7964" w:rsidP="001E1C1C">
      <w:pPr>
        <w:jc w:val="both"/>
      </w:pPr>
      <w:r>
        <w:t>Conclusión…</w:t>
      </w:r>
    </w:p>
    <w:p w:rsidR="002D037B" w:rsidRDefault="006B6AFF" w:rsidP="001E1C1C">
      <w:pPr>
        <w:jc w:val="both"/>
      </w:pPr>
      <w:r>
        <w:t xml:space="preserve">A partir de esta descripción, se abren interrogantes sobre varios temas. ¿Cuál es el grado y las consecuencias de la segregación ocupacional entre varones y mujeres? ¿En qué sectores se verifican restricciones para que las mujeres ocupen puestos de alta responsabilidad? </w:t>
      </w:r>
      <w:r w:rsidR="002D037B">
        <w:t>¿Qué cambios culturales explican el aumento de la participación femenina en actividades económicas, y cuáles son sus consecuencias?</w:t>
      </w:r>
    </w:p>
    <w:p w:rsidR="002074FB" w:rsidRPr="00044FE7" w:rsidRDefault="002074FB" w:rsidP="001E1C1C">
      <w:pPr>
        <w:jc w:val="both"/>
      </w:pPr>
      <w:r w:rsidRPr="00044FE7">
        <w:br w:type="page"/>
      </w:r>
    </w:p>
    <w:p w:rsidR="005B04D3" w:rsidRPr="008125D9" w:rsidRDefault="00823C68" w:rsidP="001E1C1C">
      <w:pPr>
        <w:jc w:val="both"/>
        <w:rPr>
          <w:lang w:val="en-US"/>
        </w:rPr>
      </w:pPr>
      <w:proofErr w:type="spellStart"/>
      <w:r w:rsidRPr="008125D9">
        <w:rPr>
          <w:lang w:val="en-US"/>
        </w:rPr>
        <w:lastRenderedPageBreak/>
        <w:t>Referencias</w:t>
      </w:r>
      <w:proofErr w:type="spellEnd"/>
    </w:p>
    <w:p w:rsidR="00344F7F" w:rsidRPr="00864034" w:rsidRDefault="00577CEB" w:rsidP="00344F7F">
      <w:pPr>
        <w:widowControl w:val="0"/>
        <w:autoSpaceDE w:val="0"/>
        <w:autoSpaceDN w:val="0"/>
        <w:adjustRightInd w:val="0"/>
        <w:spacing w:line="240" w:lineRule="auto"/>
        <w:ind w:left="480" w:hanging="480"/>
        <w:rPr>
          <w:rFonts w:cs="Times New Roman"/>
          <w:noProof/>
          <w:szCs w:val="24"/>
          <w:lang w:val="en-US"/>
        </w:rPr>
      </w:pPr>
      <w:r>
        <w:fldChar w:fldCharType="begin" w:fldLock="1"/>
      </w:r>
      <w:r w:rsidR="005B04D3" w:rsidRPr="008125D9">
        <w:rPr>
          <w:lang w:val="en-US"/>
        </w:rPr>
        <w:instrText xml:space="preserve">ADDIN Mendeley Bibliography CSL_BIBLIOGRAPHY </w:instrText>
      </w:r>
      <w:r>
        <w:fldChar w:fldCharType="separate"/>
      </w:r>
      <w:r w:rsidR="00344F7F" w:rsidRPr="00864034">
        <w:rPr>
          <w:rFonts w:cs="Times New Roman"/>
          <w:noProof/>
          <w:szCs w:val="24"/>
          <w:lang w:val="en-US"/>
        </w:rPr>
        <w:t xml:space="preserve">Beauregard, K. (2018). Women’s representation and gender gaps in political participation: do time and success matter in a cross-national perspective? </w:t>
      </w:r>
      <w:r w:rsidR="00344F7F" w:rsidRPr="00864034">
        <w:rPr>
          <w:rFonts w:cs="Times New Roman"/>
          <w:i/>
          <w:iCs/>
          <w:noProof/>
          <w:szCs w:val="24"/>
          <w:lang w:val="en-US"/>
        </w:rPr>
        <w:t>Politics, Groups, and Identities</w:t>
      </w:r>
      <w:r w:rsidR="00344F7F" w:rsidRPr="00864034">
        <w:rPr>
          <w:rFonts w:cs="Times New Roman"/>
          <w:noProof/>
          <w:szCs w:val="24"/>
          <w:lang w:val="en-US"/>
        </w:rPr>
        <w:t xml:space="preserve">, </w:t>
      </w:r>
      <w:r w:rsidR="00344F7F" w:rsidRPr="00864034">
        <w:rPr>
          <w:rFonts w:cs="Times New Roman"/>
          <w:i/>
          <w:iCs/>
          <w:noProof/>
          <w:szCs w:val="24"/>
          <w:lang w:val="en-US"/>
        </w:rPr>
        <w:t>6</w:t>
      </w:r>
      <w:r w:rsidR="00344F7F" w:rsidRPr="00864034">
        <w:rPr>
          <w:rFonts w:cs="Times New Roman"/>
          <w:noProof/>
          <w:szCs w:val="24"/>
          <w:lang w:val="en-US"/>
        </w:rPr>
        <w:t>(2), 237–263. http://doi.org/10.1080/21565503.2016.1207548</w:t>
      </w:r>
    </w:p>
    <w:p w:rsidR="00344F7F" w:rsidRPr="00344F7F" w:rsidRDefault="00344F7F" w:rsidP="00344F7F">
      <w:pPr>
        <w:widowControl w:val="0"/>
        <w:autoSpaceDE w:val="0"/>
        <w:autoSpaceDN w:val="0"/>
        <w:adjustRightInd w:val="0"/>
        <w:spacing w:line="240" w:lineRule="auto"/>
        <w:ind w:left="480" w:hanging="480"/>
        <w:rPr>
          <w:rFonts w:cs="Times New Roman"/>
          <w:noProof/>
          <w:szCs w:val="24"/>
        </w:rPr>
      </w:pPr>
      <w:r w:rsidRPr="00864034">
        <w:rPr>
          <w:rFonts w:cs="Times New Roman"/>
          <w:noProof/>
          <w:szCs w:val="24"/>
          <w:lang w:val="en-US"/>
        </w:rPr>
        <w:t xml:space="preserve">Blackburn, R. M., &amp; Jarman, J. (2006). Gendered Occupations Exploring the Relationship between Gender Segregation and Inequality IS. </w:t>
      </w:r>
      <w:r w:rsidRPr="00344F7F">
        <w:rPr>
          <w:rFonts w:cs="Times New Roman"/>
          <w:i/>
          <w:iCs/>
          <w:noProof/>
          <w:szCs w:val="24"/>
        </w:rPr>
        <w:t>International Sociology</w:t>
      </w:r>
      <w:r w:rsidRPr="00344F7F">
        <w:rPr>
          <w:rFonts w:cs="Times New Roman"/>
          <w:noProof/>
          <w:szCs w:val="24"/>
        </w:rPr>
        <w:t xml:space="preserve">, </w:t>
      </w:r>
      <w:r w:rsidRPr="00344F7F">
        <w:rPr>
          <w:rFonts w:cs="Times New Roman"/>
          <w:i/>
          <w:iCs/>
          <w:noProof/>
          <w:szCs w:val="24"/>
        </w:rPr>
        <w:t>21</w:t>
      </w:r>
      <w:r w:rsidRPr="00344F7F">
        <w:rPr>
          <w:rFonts w:cs="Times New Roman"/>
          <w:noProof/>
          <w:szCs w:val="24"/>
        </w:rPr>
        <w:t>(2), 289–315. http://doi.org/10.1177/0268580906061380</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344F7F">
        <w:rPr>
          <w:rFonts w:cs="Times New Roman"/>
          <w:noProof/>
          <w:szCs w:val="24"/>
        </w:rPr>
        <w:t xml:space="preserve">CEPAL. (2004). Caminos hacia la equidad de género en América Latina y el Caribe. In CEPAL (Ed.), </w:t>
      </w:r>
      <w:r w:rsidRPr="00344F7F">
        <w:rPr>
          <w:rFonts w:cs="Times New Roman"/>
          <w:i/>
          <w:iCs/>
          <w:noProof/>
          <w:szCs w:val="24"/>
        </w:rPr>
        <w:t>Conferencia Regional sobre la Mujer de América Latina y el Caribe No.9 | México</w:t>
      </w:r>
      <w:r w:rsidRPr="00344F7F">
        <w:rPr>
          <w:rFonts w:cs="Times New Roman"/>
          <w:noProof/>
          <w:szCs w:val="24"/>
        </w:rPr>
        <w:t xml:space="preserve"> (p. 104). </w:t>
      </w:r>
      <w:r w:rsidRPr="00864034">
        <w:rPr>
          <w:rFonts w:cs="Times New Roman"/>
          <w:noProof/>
          <w:szCs w:val="24"/>
          <w:lang w:val="en-US"/>
        </w:rPr>
        <w:t>Santiago de Chile: CEPAL. Retrieved from https://www.cepal.org/es/publicaciones/16577-caminos-la-equidad-genero-america-latina-caribe</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864034">
        <w:rPr>
          <w:rFonts w:cs="Times New Roman"/>
          <w:noProof/>
          <w:szCs w:val="24"/>
          <w:lang w:val="en-US"/>
        </w:rPr>
        <w:t xml:space="preserve">Cotter, D. A., Hermsen, J. M., Ovadia, S., &amp; Vanneman, R. (2001). The Glass Ceiling Effect. </w:t>
      </w:r>
      <w:r w:rsidRPr="00864034">
        <w:rPr>
          <w:rFonts w:cs="Times New Roman"/>
          <w:i/>
          <w:iCs/>
          <w:noProof/>
          <w:szCs w:val="24"/>
          <w:lang w:val="en-US"/>
        </w:rPr>
        <w:t>Social Forces</w:t>
      </w:r>
      <w:r w:rsidRPr="00864034">
        <w:rPr>
          <w:rFonts w:cs="Times New Roman"/>
          <w:noProof/>
          <w:szCs w:val="24"/>
          <w:lang w:val="en-US"/>
        </w:rPr>
        <w:t xml:space="preserve">, </w:t>
      </w:r>
      <w:r w:rsidRPr="00864034">
        <w:rPr>
          <w:rFonts w:cs="Times New Roman"/>
          <w:i/>
          <w:iCs/>
          <w:noProof/>
          <w:szCs w:val="24"/>
          <w:lang w:val="en-US"/>
        </w:rPr>
        <w:t>80</w:t>
      </w:r>
      <w:r w:rsidRPr="00864034">
        <w:rPr>
          <w:rFonts w:cs="Times New Roman"/>
          <w:noProof/>
          <w:szCs w:val="24"/>
          <w:lang w:val="en-US"/>
        </w:rPr>
        <w:t>(2), 655–681. http://doi.org/10.1353/sof.2001.0091</w:t>
      </w:r>
    </w:p>
    <w:p w:rsidR="00344F7F" w:rsidRPr="00344F7F" w:rsidRDefault="00344F7F" w:rsidP="00344F7F">
      <w:pPr>
        <w:widowControl w:val="0"/>
        <w:autoSpaceDE w:val="0"/>
        <w:autoSpaceDN w:val="0"/>
        <w:adjustRightInd w:val="0"/>
        <w:spacing w:line="240" w:lineRule="auto"/>
        <w:ind w:left="480" w:hanging="480"/>
        <w:rPr>
          <w:rFonts w:cs="Times New Roman"/>
          <w:noProof/>
          <w:szCs w:val="24"/>
        </w:rPr>
      </w:pPr>
      <w:r w:rsidRPr="00344F7F">
        <w:rPr>
          <w:rFonts w:cs="Times New Roman"/>
          <w:noProof/>
          <w:szCs w:val="24"/>
        </w:rPr>
        <w:t xml:space="preserve">Cronista, E. (2018, March 8). Las mujeres solo ocupan el 10% de los puestos directivos en compañías locales | El Cronista. </w:t>
      </w:r>
      <w:r w:rsidRPr="00344F7F">
        <w:rPr>
          <w:rFonts w:cs="Times New Roman"/>
          <w:i/>
          <w:iCs/>
          <w:noProof/>
          <w:szCs w:val="24"/>
        </w:rPr>
        <w:t>El Cronista</w:t>
      </w:r>
      <w:r w:rsidRPr="00344F7F">
        <w:rPr>
          <w:rFonts w:cs="Times New Roman"/>
          <w:noProof/>
          <w:szCs w:val="24"/>
        </w:rPr>
        <w:t>, p. 1. Buenos Aires. Retrieved from https://www.cronista.com/finanzasmercados/Las-mujeres-solo-ocupan-el-10-de-los-puestos-directivos-en-companias-locales-20180308-0027.html</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864034">
        <w:rPr>
          <w:rFonts w:cs="Times New Roman"/>
          <w:noProof/>
          <w:szCs w:val="24"/>
          <w:lang w:val="en-US"/>
        </w:rPr>
        <w:t xml:space="preserve">Dahlin, J., &amp; Härkönen, J. (2013). Cross-national differences in the gender gap in subjective health in Europe: Does country-level gender equality matter? </w:t>
      </w:r>
      <w:r w:rsidRPr="00864034">
        <w:rPr>
          <w:rFonts w:cs="Times New Roman"/>
          <w:i/>
          <w:iCs/>
          <w:noProof/>
          <w:szCs w:val="24"/>
          <w:lang w:val="en-US"/>
        </w:rPr>
        <w:t>Social Science &amp; Medicine</w:t>
      </w:r>
      <w:r w:rsidRPr="00864034">
        <w:rPr>
          <w:rFonts w:cs="Times New Roman"/>
          <w:noProof/>
          <w:szCs w:val="24"/>
          <w:lang w:val="en-US"/>
        </w:rPr>
        <w:t xml:space="preserve">, </w:t>
      </w:r>
      <w:r w:rsidRPr="00864034">
        <w:rPr>
          <w:rFonts w:cs="Times New Roman"/>
          <w:i/>
          <w:iCs/>
          <w:noProof/>
          <w:szCs w:val="24"/>
          <w:lang w:val="en-US"/>
        </w:rPr>
        <w:t>98</w:t>
      </w:r>
      <w:r w:rsidRPr="00864034">
        <w:rPr>
          <w:rFonts w:cs="Times New Roman"/>
          <w:noProof/>
          <w:szCs w:val="24"/>
          <w:lang w:val="en-US"/>
        </w:rPr>
        <w:t>, 24–28. http://doi.org/10.1016/J.SOCSCIMED.2013.08.028</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864034">
        <w:rPr>
          <w:rFonts w:cs="Times New Roman"/>
          <w:noProof/>
          <w:szCs w:val="24"/>
          <w:lang w:val="en-US"/>
        </w:rPr>
        <w:t>EU. (2018). The gender pay gap situation in the EU | European Commission. Retrieved September 25, 2018, from https://ec.europa.eu/info/policies/justice-and-fundamental-rights/gender-equality/equal-pay/gender-pay-gap-situation-eu_en</w:t>
      </w:r>
    </w:p>
    <w:p w:rsidR="00344F7F" w:rsidRPr="00344F7F" w:rsidRDefault="00344F7F" w:rsidP="00344F7F">
      <w:pPr>
        <w:widowControl w:val="0"/>
        <w:autoSpaceDE w:val="0"/>
        <w:autoSpaceDN w:val="0"/>
        <w:adjustRightInd w:val="0"/>
        <w:spacing w:line="240" w:lineRule="auto"/>
        <w:ind w:left="480" w:hanging="480"/>
        <w:rPr>
          <w:rFonts w:cs="Times New Roman"/>
          <w:noProof/>
          <w:szCs w:val="24"/>
        </w:rPr>
      </w:pPr>
      <w:r w:rsidRPr="00864034">
        <w:rPr>
          <w:rFonts w:cs="Times New Roman"/>
          <w:noProof/>
          <w:szCs w:val="24"/>
          <w:lang w:val="en-US"/>
        </w:rPr>
        <w:t xml:space="preserve">Heckman, J. (1974). Shadow Prices, Market Wages, and Labor Supply. </w:t>
      </w:r>
      <w:r w:rsidRPr="00344F7F">
        <w:rPr>
          <w:rFonts w:cs="Times New Roman"/>
          <w:i/>
          <w:iCs/>
          <w:noProof/>
          <w:szCs w:val="24"/>
        </w:rPr>
        <w:t>Econometrica</w:t>
      </w:r>
      <w:r w:rsidRPr="00344F7F">
        <w:rPr>
          <w:rFonts w:cs="Times New Roman"/>
          <w:noProof/>
          <w:szCs w:val="24"/>
        </w:rPr>
        <w:t xml:space="preserve">, </w:t>
      </w:r>
      <w:r w:rsidRPr="00344F7F">
        <w:rPr>
          <w:rFonts w:cs="Times New Roman"/>
          <w:i/>
          <w:iCs/>
          <w:noProof/>
          <w:szCs w:val="24"/>
        </w:rPr>
        <w:t>42</w:t>
      </w:r>
      <w:r w:rsidRPr="00344F7F">
        <w:rPr>
          <w:rFonts w:cs="Times New Roman"/>
          <w:noProof/>
          <w:szCs w:val="24"/>
        </w:rPr>
        <w:t>(4), 679. http://doi.org/10.2307/1913937</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344F7F">
        <w:rPr>
          <w:rFonts w:cs="Times New Roman"/>
          <w:noProof/>
          <w:szCs w:val="24"/>
        </w:rPr>
        <w:t xml:space="preserve">INDEC. (2011). </w:t>
      </w:r>
      <w:r w:rsidRPr="00344F7F">
        <w:rPr>
          <w:rFonts w:cs="Times New Roman"/>
          <w:i/>
          <w:iCs/>
          <w:noProof/>
          <w:szCs w:val="24"/>
        </w:rPr>
        <w:t>Encuesta Permanente de Hogares Conceptos de Condición de Actividad, Subocupación Horaria y Categoría Ocupacional</w:t>
      </w:r>
      <w:r w:rsidRPr="00344F7F">
        <w:rPr>
          <w:rFonts w:cs="Times New Roman"/>
          <w:noProof/>
          <w:szCs w:val="24"/>
        </w:rPr>
        <w:t xml:space="preserve">. </w:t>
      </w:r>
      <w:r w:rsidRPr="00864034">
        <w:rPr>
          <w:rFonts w:cs="Times New Roman"/>
          <w:noProof/>
          <w:szCs w:val="24"/>
          <w:lang w:val="en-US"/>
        </w:rPr>
        <w:t>Buenos Aires. Retrieved from https://www.indec.gov.ar/ftp/cuadros/menusuperior/eph/EPH_Conceptos.pdf</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344F7F">
        <w:rPr>
          <w:rFonts w:cs="Times New Roman"/>
          <w:noProof/>
          <w:szCs w:val="24"/>
        </w:rPr>
        <w:t xml:space="preserve">INDEC. (2018). </w:t>
      </w:r>
      <w:r w:rsidRPr="00344F7F">
        <w:rPr>
          <w:rFonts w:cs="Times New Roman"/>
          <w:i/>
          <w:iCs/>
          <w:noProof/>
          <w:szCs w:val="24"/>
        </w:rPr>
        <w:t>Evolución de la distribución del ingreso (EPH) Primer trimestre de 2018</w:t>
      </w:r>
      <w:r w:rsidRPr="00344F7F">
        <w:rPr>
          <w:rFonts w:cs="Times New Roman"/>
          <w:noProof/>
          <w:szCs w:val="24"/>
        </w:rPr>
        <w:t xml:space="preserve">. </w:t>
      </w:r>
      <w:r w:rsidRPr="00864034">
        <w:rPr>
          <w:rFonts w:cs="Times New Roman"/>
          <w:noProof/>
          <w:szCs w:val="24"/>
          <w:lang w:val="en-US"/>
        </w:rPr>
        <w:t>Buenos Aires. Retrieved from www.indec.gob.ar/calendario.asp</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864034">
        <w:rPr>
          <w:rFonts w:cs="Times New Roman"/>
          <w:noProof/>
          <w:szCs w:val="24"/>
          <w:lang w:val="en-US"/>
        </w:rPr>
        <w:t xml:space="preserve">Kahneman, D., &amp; Tversky, A. (1979). PROSPECT THEORY: AN ANALYSIS OF DECISION UNDER RISK. </w:t>
      </w:r>
      <w:r w:rsidRPr="00864034">
        <w:rPr>
          <w:rFonts w:cs="Times New Roman"/>
          <w:i/>
          <w:iCs/>
          <w:noProof/>
          <w:szCs w:val="24"/>
          <w:lang w:val="en-US"/>
        </w:rPr>
        <w:t>Econometrica</w:t>
      </w:r>
      <w:r w:rsidRPr="00864034">
        <w:rPr>
          <w:rFonts w:cs="Times New Roman"/>
          <w:noProof/>
          <w:szCs w:val="24"/>
          <w:lang w:val="en-US"/>
        </w:rPr>
        <w:t xml:space="preserve">, </w:t>
      </w:r>
      <w:r w:rsidRPr="00864034">
        <w:rPr>
          <w:rFonts w:cs="Times New Roman"/>
          <w:i/>
          <w:iCs/>
          <w:noProof/>
          <w:szCs w:val="24"/>
          <w:lang w:val="en-US"/>
        </w:rPr>
        <w:t>47</w:t>
      </w:r>
      <w:r w:rsidRPr="00864034">
        <w:rPr>
          <w:rFonts w:cs="Times New Roman"/>
          <w:noProof/>
          <w:szCs w:val="24"/>
          <w:lang w:val="en-US"/>
        </w:rPr>
        <w:t>(2), 263–291. Retrieved from http://courses.washington.edu/pbafhall/514/514 Readings/ProspectTheory.pdf</w:t>
      </w:r>
    </w:p>
    <w:p w:rsidR="00344F7F" w:rsidRPr="00344F7F" w:rsidRDefault="00344F7F" w:rsidP="00344F7F">
      <w:pPr>
        <w:widowControl w:val="0"/>
        <w:autoSpaceDE w:val="0"/>
        <w:autoSpaceDN w:val="0"/>
        <w:adjustRightInd w:val="0"/>
        <w:spacing w:line="240" w:lineRule="auto"/>
        <w:ind w:left="480" w:hanging="480"/>
        <w:rPr>
          <w:rFonts w:cs="Times New Roman"/>
          <w:noProof/>
          <w:szCs w:val="24"/>
        </w:rPr>
      </w:pPr>
      <w:r w:rsidRPr="00344F7F">
        <w:rPr>
          <w:rFonts w:cs="Times New Roman"/>
          <w:noProof/>
          <w:szCs w:val="24"/>
        </w:rPr>
        <w:t xml:space="preserve">Martínez Gómez, C. (2013). Descenso de la fecundidad, participación laboral de la mujer y reducción de la pobreza en Colombia, 1990-2010. In </w:t>
      </w:r>
      <w:r w:rsidRPr="00344F7F">
        <w:rPr>
          <w:rFonts w:cs="Times New Roman"/>
          <w:i/>
          <w:iCs/>
          <w:noProof/>
          <w:szCs w:val="24"/>
        </w:rPr>
        <w:t>Estudios a Profundidad de la ENDS</w:t>
      </w:r>
      <w:r w:rsidRPr="00344F7F">
        <w:rPr>
          <w:rFonts w:cs="Times New Roman"/>
          <w:noProof/>
          <w:szCs w:val="24"/>
        </w:rPr>
        <w:t>. Bogotá: Profamilia. Retrieved from http://www.profamilia.org.co/docs/estudios/imagenes/4 - DESCENSO DE LA FECUNDIDAD - PARTICIPACION LABORAL DE LA MUJER Y REDUCCION DE LA PROBREZA EN C.pdf</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344F7F">
        <w:rPr>
          <w:rFonts w:cs="Times New Roman"/>
          <w:noProof/>
          <w:szCs w:val="24"/>
        </w:rPr>
        <w:t xml:space="preserve">Martínez Gómez, C., Miller, T., &amp; Saad, P. M. (2013). </w:t>
      </w:r>
      <w:r w:rsidRPr="00344F7F">
        <w:rPr>
          <w:rFonts w:cs="Times New Roman"/>
          <w:i/>
          <w:iCs/>
          <w:noProof/>
          <w:szCs w:val="24"/>
        </w:rPr>
        <w:t>Participación laboral femenina y bono de género en América Latina</w:t>
      </w:r>
      <w:r w:rsidRPr="00344F7F">
        <w:rPr>
          <w:rFonts w:cs="Times New Roman"/>
          <w:noProof/>
          <w:szCs w:val="24"/>
        </w:rPr>
        <w:t xml:space="preserve">. </w:t>
      </w:r>
      <w:r w:rsidRPr="00864034">
        <w:rPr>
          <w:rFonts w:cs="Times New Roman"/>
          <w:noProof/>
          <w:szCs w:val="24"/>
          <w:lang w:val="en-US"/>
        </w:rPr>
        <w:t>CEPAL. Retrieved from https://repositorio.cepal.org/handle/11362/35897</w:t>
      </w:r>
    </w:p>
    <w:p w:rsidR="00344F7F" w:rsidRPr="00344F7F" w:rsidRDefault="00344F7F" w:rsidP="00344F7F">
      <w:pPr>
        <w:widowControl w:val="0"/>
        <w:autoSpaceDE w:val="0"/>
        <w:autoSpaceDN w:val="0"/>
        <w:adjustRightInd w:val="0"/>
        <w:spacing w:line="240" w:lineRule="auto"/>
        <w:ind w:left="480" w:hanging="480"/>
        <w:rPr>
          <w:rFonts w:cs="Times New Roman"/>
          <w:noProof/>
          <w:szCs w:val="24"/>
        </w:rPr>
      </w:pPr>
      <w:r w:rsidRPr="00864034">
        <w:rPr>
          <w:rFonts w:cs="Times New Roman"/>
          <w:noProof/>
          <w:szCs w:val="24"/>
          <w:lang w:val="en-US"/>
        </w:rPr>
        <w:t xml:space="preserve">Miller, W., Kerr, B., &amp; Reid, M. (1999). A National Study of Gender-Based Occupational Segregation in Municipal Bureaucracies: Persistence of Glass Walls? </w:t>
      </w:r>
      <w:r w:rsidRPr="00344F7F">
        <w:rPr>
          <w:rFonts w:cs="Times New Roman"/>
          <w:i/>
          <w:iCs/>
          <w:noProof/>
          <w:szCs w:val="24"/>
        </w:rPr>
        <w:t>Public Administration Review</w:t>
      </w:r>
      <w:r w:rsidRPr="00344F7F">
        <w:rPr>
          <w:rFonts w:cs="Times New Roman"/>
          <w:noProof/>
          <w:szCs w:val="24"/>
        </w:rPr>
        <w:t xml:space="preserve">, </w:t>
      </w:r>
      <w:r w:rsidRPr="00344F7F">
        <w:rPr>
          <w:rFonts w:cs="Times New Roman"/>
          <w:i/>
          <w:iCs/>
          <w:noProof/>
          <w:szCs w:val="24"/>
        </w:rPr>
        <w:t>59</w:t>
      </w:r>
      <w:r w:rsidRPr="00344F7F">
        <w:rPr>
          <w:rFonts w:cs="Times New Roman"/>
          <w:noProof/>
          <w:szCs w:val="24"/>
        </w:rPr>
        <w:t xml:space="preserve">(3), 218. </w:t>
      </w:r>
      <w:r w:rsidRPr="00344F7F">
        <w:rPr>
          <w:rFonts w:cs="Times New Roman"/>
          <w:noProof/>
          <w:szCs w:val="24"/>
        </w:rPr>
        <w:lastRenderedPageBreak/>
        <w:t>http://doi.org/10.2307/3109950</w:t>
      </w:r>
    </w:p>
    <w:p w:rsidR="00344F7F" w:rsidRPr="00344F7F" w:rsidRDefault="00344F7F" w:rsidP="00344F7F">
      <w:pPr>
        <w:widowControl w:val="0"/>
        <w:autoSpaceDE w:val="0"/>
        <w:autoSpaceDN w:val="0"/>
        <w:adjustRightInd w:val="0"/>
        <w:spacing w:line="240" w:lineRule="auto"/>
        <w:ind w:left="480" w:hanging="480"/>
        <w:rPr>
          <w:rFonts w:cs="Times New Roman"/>
          <w:noProof/>
          <w:szCs w:val="24"/>
        </w:rPr>
      </w:pPr>
      <w:r w:rsidRPr="00344F7F">
        <w:rPr>
          <w:rFonts w:cs="Times New Roman"/>
          <w:noProof/>
          <w:szCs w:val="24"/>
        </w:rPr>
        <w:t xml:space="preserve">Moine, M. B. (2013). Factores que inciden en el acceso de las mujeres a cargos de responsabilidad en la estructura organizacional. </w:t>
      </w:r>
      <w:r w:rsidRPr="00344F7F">
        <w:rPr>
          <w:rFonts w:cs="Times New Roman"/>
          <w:i/>
          <w:iCs/>
          <w:noProof/>
          <w:szCs w:val="24"/>
        </w:rPr>
        <w:t>Ciencias Económicas</w:t>
      </w:r>
      <w:r w:rsidRPr="00344F7F">
        <w:rPr>
          <w:rFonts w:cs="Times New Roman"/>
          <w:noProof/>
          <w:szCs w:val="24"/>
        </w:rPr>
        <w:t xml:space="preserve">, </w:t>
      </w:r>
      <w:r w:rsidRPr="00344F7F">
        <w:rPr>
          <w:rFonts w:cs="Times New Roman"/>
          <w:i/>
          <w:iCs/>
          <w:noProof/>
          <w:szCs w:val="24"/>
        </w:rPr>
        <w:t>1</w:t>
      </w:r>
      <w:r w:rsidRPr="00344F7F">
        <w:rPr>
          <w:rFonts w:cs="Times New Roman"/>
          <w:noProof/>
          <w:szCs w:val="24"/>
        </w:rPr>
        <w:t>(10), 21–45. Retrieved from https://dialnet.unirioja.es/servlet/articulo?codigo=5522966</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864034">
        <w:rPr>
          <w:rFonts w:cs="Times New Roman"/>
          <w:noProof/>
          <w:szCs w:val="24"/>
          <w:lang w:val="en-US"/>
        </w:rPr>
        <w:t xml:space="preserve">O’Neill, J. (2003). The Gender Gap in Wages, circa 2000. </w:t>
      </w:r>
      <w:r w:rsidRPr="00864034">
        <w:rPr>
          <w:rFonts w:cs="Times New Roman"/>
          <w:i/>
          <w:iCs/>
          <w:noProof/>
          <w:szCs w:val="24"/>
          <w:lang w:val="en-US"/>
        </w:rPr>
        <w:t>American Economic Review</w:t>
      </w:r>
      <w:r w:rsidRPr="00864034">
        <w:rPr>
          <w:rFonts w:cs="Times New Roman"/>
          <w:noProof/>
          <w:szCs w:val="24"/>
          <w:lang w:val="en-US"/>
        </w:rPr>
        <w:t xml:space="preserve">, </w:t>
      </w:r>
      <w:r w:rsidRPr="00864034">
        <w:rPr>
          <w:rFonts w:cs="Times New Roman"/>
          <w:i/>
          <w:iCs/>
          <w:noProof/>
          <w:szCs w:val="24"/>
          <w:lang w:val="en-US"/>
        </w:rPr>
        <w:t>93</w:t>
      </w:r>
      <w:r w:rsidRPr="00864034">
        <w:rPr>
          <w:rFonts w:cs="Times New Roman"/>
          <w:noProof/>
          <w:szCs w:val="24"/>
          <w:lang w:val="en-US"/>
        </w:rPr>
        <w:t>(2), 309–314. http://doi.org/10.1257/000282803321947254</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864034">
        <w:rPr>
          <w:rFonts w:cs="Times New Roman"/>
          <w:noProof/>
          <w:szCs w:val="24"/>
          <w:lang w:val="en-US"/>
        </w:rPr>
        <w:t>OCDE. (2012, December 17). Closing the Gender Gap. http://doi.org/10.1787/9789264179370-en</w:t>
      </w:r>
    </w:p>
    <w:p w:rsidR="00344F7F" w:rsidRPr="00344F7F" w:rsidRDefault="00344F7F" w:rsidP="00344F7F">
      <w:pPr>
        <w:widowControl w:val="0"/>
        <w:autoSpaceDE w:val="0"/>
        <w:autoSpaceDN w:val="0"/>
        <w:adjustRightInd w:val="0"/>
        <w:spacing w:line="240" w:lineRule="auto"/>
        <w:ind w:left="480" w:hanging="480"/>
        <w:rPr>
          <w:rFonts w:cs="Times New Roman"/>
          <w:noProof/>
          <w:szCs w:val="24"/>
        </w:rPr>
      </w:pPr>
      <w:r w:rsidRPr="00344F7F">
        <w:rPr>
          <w:rFonts w:cs="Times New Roman"/>
          <w:noProof/>
          <w:szCs w:val="24"/>
        </w:rPr>
        <w:t>Paz, J., &amp; Macor, F. (2013). Bono Demográfico y Bono de Género en Argentina y Brasil. In Asociación Argentina de Economía Política (Ed.), . Retrieved from http://www.aaep.org.ar/anales/works/works2013/paz.pdf</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344F7F">
        <w:rPr>
          <w:rFonts w:cs="Times New Roman"/>
          <w:noProof/>
          <w:szCs w:val="24"/>
        </w:rPr>
        <w:t xml:space="preserve">Rio Negro. (2018, October 5). Brecha salarial: ¿cuestión de género? </w:t>
      </w:r>
      <w:r w:rsidRPr="00864034">
        <w:rPr>
          <w:rFonts w:cs="Times New Roman"/>
          <w:i/>
          <w:iCs/>
          <w:noProof/>
          <w:szCs w:val="24"/>
          <w:lang w:val="en-US"/>
        </w:rPr>
        <w:t>Rio Negro</w:t>
      </w:r>
      <w:r w:rsidRPr="00864034">
        <w:rPr>
          <w:rFonts w:cs="Times New Roman"/>
          <w:noProof/>
          <w:szCs w:val="24"/>
          <w:lang w:val="en-US"/>
        </w:rPr>
        <w:t>. Retrieved from https://www.rionegro.com.ar/empleo/brecha-salarial-cuestion-de-genero-EJ5803688</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344F7F">
        <w:rPr>
          <w:rFonts w:cs="Times New Roman"/>
          <w:noProof/>
          <w:szCs w:val="24"/>
        </w:rPr>
        <w:t xml:space="preserve">Sartori, L., Tuorto, D., &amp; Ghigi, R. (2017). </w:t>
      </w:r>
      <w:r w:rsidRPr="00864034">
        <w:rPr>
          <w:rFonts w:cs="Times New Roman"/>
          <w:noProof/>
          <w:szCs w:val="24"/>
          <w:lang w:val="en-US"/>
        </w:rPr>
        <w:t xml:space="preserve">The Social Roots of the Gender Gap in Political Participation: The Role of Situational and Cultural Constraints in Italy. </w:t>
      </w:r>
      <w:r w:rsidRPr="00864034">
        <w:rPr>
          <w:rFonts w:cs="Times New Roman"/>
          <w:i/>
          <w:iCs/>
          <w:noProof/>
          <w:szCs w:val="24"/>
          <w:lang w:val="en-US"/>
        </w:rPr>
        <w:t>Social Politics: International Studies in Gender, State &amp; Society</w:t>
      </w:r>
      <w:r w:rsidRPr="00864034">
        <w:rPr>
          <w:rFonts w:cs="Times New Roman"/>
          <w:noProof/>
          <w:szCs w:val="24"/>
          <w:lang w:val="en-US"/>
        </w:rPr>
        <w:t xml:space="preserve">, </w:t>
      </w:r>
      <w:r w:rsidRPr="00864034">
        <w:rPr>
          <w:rFonts w:cs="Times New Roman"/>
          <w:i/>
          <w:iCs/>
          <w:noProof/>
          <w:szCs w:val="24"/>
          <w:lang w:val="en-US"/>
        </w:rPr>
        <w:t>24</w:t>
      </w:r>
      <w:r w:rsidRPr="00864034">
        <w:rPr>
          <w:rFonts w:cs="Times New Roman"/>
          <w:noProof/>
          <w:szCs w:val="24"/>
          <w:lang w:val="en-US"/>
        </w:rPr>
        <w:t>(3), 221–247. http://doi.org/10.1093/sp/jxx008</w:t>
      </w:r>
    </w:p>
    <w:p w:rsidR="00344F7F" w:rsidRPr="00864034" w:rsidRDefault="00344F7F" w:rsidP="00344F7F">
      <w:pPr>
        <w:widowControl w:val="0"/>
        <w:autoSpaceDE w:val="0"/>
        <w:autoSpaceDN w:val="0"/>
        <w:adjustRightInd w:val="0"/>
        <w:spacing w:line="240" w:lineRule="auto"/>
        <w:ind w:left="480" w:hanging="480"/>
        <w:rPr>
          <w:rFonts w:cs="Times New Roman"/>
          <w:noProof/>
          <w:szCs w:val="24"/>
          <w:lang w:val="en-US"/>
        </w:rPr>
      </w:pPr>
      <w:r w:rsidRPr="00864034">
        <w:rPr>
          <w:rFonts w:cs="Times New Roman"/>
          <w:noProof/>
          <w:szCs w:val="24"/>
          <w:lang w:val="en-US"/>
        </w:rPr>
        <w:t xml:space="preserve">Van Bavel, J., Schwartz, C. R., &amp; Esteve, A. (2018). The Reversal of the Gender Gap in Education and Its Consequences for Family Life. </w:t>
      </w:r>
      <w:r w:rsidRPr="00864034">
        <w:rPr>
          <w:rFonts w:cs="Times New Roman"/>
          <w:i/>
          <w:iCs/>
          <w:noProof/>
          <w:szCs w:val="24"/>
          <w:lang w:val="en-US"/>
        </w:rPr>
        <w:t>Annual Review of Sociology</w:t>
      </w:r>
      <w:r w:rsidRPr="00864034">
        <w:rPr>
          <w:rFonts w:cs="Times New Roman"/>
          <w:noProof/>
          <w:szCs w:val="24"/>
          <w:lang w:val="en-US"/>
        </w:rPr>
        <w:t xml:space="preserve">, </w:t>
      </w:r>
      <w:r w:rsidRPr="00864034">
        <w:rPr>
          <w:rFonts w:cs="Times New Roman"/>
          <w:i/>
          <w:iCs/>
          <w:noProof/>
          <w:szCs w:val="24"/>
          <w:lang w:val="en-US"/>
        </w:rPr>
        <w:t>44</w:t>
      </w:r>
      <w:r w:rsidRPr="00864034">
        <w:rPr>
          <w:rFonts w:cs="Times New Roman"/>
          <w:noProof/>
          <w:szCs w:val="24"/>
          <w:lang w:val="en-US"/>
        </w:rPr>
        <w:t>(1), 341–360. http://doi.org/10.1146/annurev-soc-073117-041215</w:t>
      </w:r>
    </w:p>
    <w:p w:rsidR="00344F7F" w:rsidRPr="00864034" w:rsidRDefault="00344F7F" w:rsidP="00344F7F">
      <w:pPr>
        <w:widowControl w:val="0"/>
        <w:autoSpaceDE w:val="0"/>
        <w:autoSpaceDN w:val="0"/>
        <w:adjustRightInd w:val="0"/>
        <w:spacing w:line="240" w:lineRule="auto"/>
        <w:ind w:left="480" w:hanging="480"/>
        <w:rPr>
          <w:noProof/>
          <w:lang w:val="en-US"/>
        </w:rPr>
      </w:pPr>
      <w:r w:rsidRPr="00864034">
        <w:rPr>
          <w:rFonts w:cs="Times New Roman"/>
          <w:noProof/>
          <w:szCs w:val="24"/>
          <w:lang w:val="en-US"/>
        </w:rPr>
        <w:t xml:space="preserve">WEF. (2017). </w:t>
      </w:r>
      <w:r w:rsidRPr="00864034">
        <w:rPr>
          <w:rFonts w:cs="Times New Roman"/>
          <w:i/>
          <w:iCs/>
          <w:noProof/>
          <w:szCs w:val="24"/>
          <w:lang w:val="en-US"/>
        </w:rPr>
        <w:t>The Global Gender Gap Report 2017 Insight Report</w:t>
      </w:r>
      <w:r w:rsidRPr="00864034">
        <w:rPr>
          <w:rFonts w:cs="Times New Roman"/>
          <w:noProof/>
          <w:szCs w:val="24"/>
          <w:lang w:val="en-US"/>
        </w:rPr>
        <w:t>. Ginebra. Retrieved from http://www3.weforum.org/docs/WEF_GGGR_2017.pdf</w:t>
      </w:r>
    </w:p>
    <w:p w:rsidR="00E52987" w:rsidRDefault="00577CEB" w:rsidP="00344F7F">
      <w:pPr>
        <w:widowControl w:val="0"/>
        <w:autoSpaceDE w:val="0"/>
        <w:autoSpaceDN w:val="0"/>
        <w:adjustRightInd w:val="0"/>
        <w:spacing w:line="240" w:lineRule="auto"/>
        <w:ind w:left="480" w:hanging="480"/>
      </w:pPr>
      <w:r>
        <w:fldChar w:fldCharType="end"/>
      </w:r>
    </w:p>
    <w:sectPr w:rsidR="00E52987" w:rsidSect="00E17B66">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41A" w:rsidRDefault="0066141A" w:rsidP="00FE75E4">
      <w:pPr>
        <w:spacing w:line="240" w:lineRule="auto"/>
      </w:pPr>
      <w:r>
        <w:separator/>
      </w:r>
    </w:p>
  </w:endnote>
  <w:endnote w:type="continuationSeparator" w:id="0">
    <w:p w:rsidR="0066141A" w:rsidRDefault="0066141A" w:rsidP="00FE75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NeueLT Std Cn">
    <w:altName w:val="HelveticaNeueLT Std Cn"/>
    <w:panose1 w:val="00000000000000000000"/>
    <w:charset w:val="00"/>
    <w:family w:val="swiss"/>
    <w:notTrueType/>
    <w:pitch w:val="default"/>
    <w:sig w:usb0="00000003" w:usb1="00000000" w:usb2="00000000" w:usb3="00000000" w:csb0="00000001" w:csb1="00000000"/>
  </w:font>
  <w:font w:name="HelveticaNeueLT Std">
    <w:altName w:val="HelveticaNeueLT St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41A" w:rsidRDefault="0066141A" w:rsidP="00FE75E4">
      <w:pPr>
        <w:spacing w:line="240" w:lineRule="auto"/>
      </w:pPr>
      <w:r>
        <w:separator/>
      </w:r>
    </w:p>
  </w:footnote>
  <w:footnote w:type="continuationSeparator" w:id="0">
    <w:p w:rsidR="0066141A" w:rsidRDefault="0066141A" w:rsidP="00FE75E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20901"/>
    <w:multiLevelType w:val="hybridMultilevel"/>
    <w:tmpl w:val="F0EC231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176C9"/>
    <w:rsid w:val="00005C7B"/>
    <w:rsid w:val="000066D1"/>
    <w:rsid w:val="000107E4"/>
    <w:rsid w:val="000246D0"/>
    <w:rsid w:val="00033F33"/>
    <w:rsid w:val="00034FD1"/>
    <w:rsid w:val="000354F7"/>
    <w:rsid w:val="00044FE7"/>
    <w:rsid w:val="00065CB4"/>
    <w:rsid w:val="0007544F"/>
    <w:rsid w:val="00084E03"/>
    <w:rsid w:val="000923A2"/>
    <w:rsid w:val="000A7C0B"/>
    <w:rsid w:val="000B2AE2"/>
    <w:rsid w:val="000C1CEC"/>
    <w:rsid w:val="000C62CC"/>
    <w:rsid w:val="000E2390"/>
    <w:rsid w:val="000E3522"/>
    <w:rsid w:val="000E41E4"/>
    <w:rsid w:val="001174EE"/>
    <w:rsid w:val="001176C9"/>
    <w:rsid w:val="001221CB"/>
    <w:rsid w:val="001253C7"/>
    <w:rsid w:val="00135940"/>
    <w:rsid w:val="00146B69"/>
    <w:rsid w:val="00147285"/>
    <w:rsid w:val="001532F2"/>
    <w:rsid w:val="0018383E"/>
    <w:rsid w:val="0018575E"/>
    <w:rsid w:val="00194AA2"/>
    <w:rsid w:val="001A4046"/>
    <w:rsid w:val="001B3186"/>
    <w:rsid w:val="001C0DEB"/>
    <w:rsid w:val="001C3DC3"/>
    <w:rsid w:val="001D1C90"/>
    <w:rsid w:val="001D2EF1"/>
    <w:rsid w:val="001E1C1C"/>
    <w:rsid w:val="001E5127"/>
    <w:rsid w:val="002074FB"/>
    <w:rsid w:val="00210C50"/>
    <w:rsid w:val="002136DC"/>
    <w:rsid w:val="002457A1"/>
    <w:rsid w:val="00245C9F"/>
    <w:rsid w:val="00255535"/>
    <w:rsid w:val="00256B22"/>
    <w:rsid w:val="00261C8E"/>
    <w:rsid w:val="00280511"/>
    <w:rsid w:val="00286F41"/>
    <w:rsid w:val="002902AA"/>
    <w:rsid w:val="002914AE"/>
    <w:rsid w:val="002B677A"/>
    <w:rsid w:val="002C4A68"/>
    <w:rsid w:val="002C54F7"/>
    <w:rsid w:val="002D037B"/>
    <w:rsid w:val="002D12D7"/>
    <w:rsid w:val="002E2C18"/>
    <w:rsid w:val="002E30E3"/>
    <w:rsid w:val="002F7E85"/>
    <w:rsid w:val="00300915"/>
    <w:rsid w:val="0030354C"/>
    <w:rsid w:val="00310A41"/>
    <w:rsid w:val="00317238"/>
    <w:rsid w:val="00327BDF"/>
    <w:rsid w:val="00331FB4"/>
    <w:rsid w:val="00333850"/>
    <w:rsid w:val="003410F7"/>
    <w:rsid w:val="00344F7F"/>
    <w:rsid w:val="00353357"/>
    <w:rsid w:val="0035431A"/>
    <w:rsid w:val="00363314"/>
    <w:rsid w:val="00373C00"/>
    <w:rsid w:val="00383BFF"/>
    <w:rsid w:val="0039192E"/>
    <w:rsid w:val="00393A8C"/>
    <w:rsid w:val="00396F4E"/>
    <w:rsid w:val="003975BD"/>
    <w:rsid w:val="003A74DA"/>
    <w:rsid w:val="003A77A2"/>
    <w:rsid w:val="003C0078"/>
    <w:rsid w:val="003C07AF"/>
    <w:rsid w:val="003C2EE2"/>
    <w:rsid w:val="003C673E"/>
    <w:rsid w:val="003D19CB"/>
    <w:rsid w:val="003D6256"/>
    <w:rsid w:val="003D6EBE"/>
    <w:rsid w:val="003E47A3"/>
    <w:rsid w:val="00435D74"/>
    <w:rsid w:val="00437641"/>
    <w:rsid w:val="00440A1D"/>
    <w:rsid w:val="004717E8"/>
    <w:rsid w:val="00483009"/>
    <w:rsid w:val="00490060"/>
    <w:rsid w:val="004B5A2D"/>
    <w:rsid w:val="004B6175"/>
    <w:rsid w:val="004C411D"/>
    <w:rsid w:val="004C7D28"/>
    <w:rsid w:val="004D7C1D"/>
    <w:rsid w:val="004E01B7"/>
    <w:rsid w:val="00502CF2"/>
    <w:rsid w:val="0051439B"/>
    <w:rsid w:val="0051496A"/>
    <w:rsid w:val="0053243E"/>
    <w:rsid w:val="005419CE"/>
    <w:rsid w:val="005503FA"/>
    <w:rsid w:val="005504CD"/>
    <w:rsid w:val="00553CD4"/>
    <w:rsid w:val="00554043"/>
    <w:rsid w:val="005774F9"/>
    <w:rsid w:val="00577CEB"/>
    <w:rsid w:val="0058426D"/>
    <w:rsid w:val="00584B90"/>
    <w:rsid w:val="00587C6C"/>
    <w:rsid w:val="005A1E44"/>
    <w:rsid w:val="005A4A7C"/>
    <w:rsid w:val="005B04D3"/>
    <w:rsid w:val="005B2159"/>
    <w:rsid w:val="005B293D"/>
    <w:rsid w:val="005B3926"/>
    <w:rsid w:val="005E5837"/>
    <w:rsid w:val="005F04E3"/>
    <w:rsid w:val="005F0DB8"/>
    <w:rsid w:val="005F6736"/>
    <w:rsid w:val="005F77D2"/>
    <w:rsid w:val="00602DE9"/>
    <w:rsid w:val="00606AEE"/>
    <w:rsid w:val="0063472A"/>
    <w:rsid w:val="00635D9F"/>
    <w:rsid w:val="00646A3F"/>
    <w:rsid w:val="006570B4"/>
    <w:rsid w:val="0066141A"/>
    <w:rsid w:val="00662D26"/>
    <w:rsid w:val="00671112"/>
    <w:rsid w:val="006715CD"/>
    <w:rsid w:val="00676849"/>
    <w:rsid w:val="00683002"/>
    <w:rsid w:val="00687739"/>
    <w:rsid w:val="006B03BF"/>
    <w:rsid w:val="006B4CE7"/>
    <w:rsid w:val="006B6AFF"/>
    <w:rsid w:val="006C00E1"/>
    <w:rsid w:val="006C4E92"/>
    <w:rsid w:val="006D2937"/>
    <w:rsid w:val="006E0E4E"/>
    <w:rsid w:val="007175F0"/>
    <w:rsid w:val="00722AB1"/>
    <w:rsid w:val="00735E28"/>
    <w:rsid w:val="00740849"/>
    <w:rsid w:val="0076551D"/>
    <w:rsid w:val="007706D2"/>
    <w:rsid w:val="00775346"/>
    <w:rsid w:val="007822F7"/>
    <w:rsid w:val="00786F42"/>
    <w:rsid w:val="00791369"/>
    <w:rsid w:val="007B0C19"/>
    <w:rsid w:val="007B17D4"/>
    <w:rsid w:val="007B42B0"/>
    <w:rsid w:val="007B70F7"/>
    <w:rsid w:val="007C181B"/>
    <w:rsid w:val="007C5D92"/>
    <w:rsid w:val="007C7E00"/>
    <w:rsid w:val="007D561B"/>
    <w:rsid w:val="007E008E"/>
    <w:rsid w:val="007E0908"/>
    <w:rsid w:val="007E3617"/>
    <w:rsid w:val="007E3F8E"/>
    <w:rsid w:val="00800116"/>
    <w:rsid w:val="00802937"/>
    <w:rsid w:val="008104D0"/>
    <w:rsid w:val="00810FD8"/>
    <w:rsid w:val="008125D9"/>
    <w:rsid w:val="00814C94"/>
    <w:rsid w:val="0081712D"/>
    <w:rsid w:val="00821749"/>
    <w:rsid w:val="00823C68"/>
    <w:rsid w:val="008270D4"/>
    <w:rsid w:val="0083234E"/>
    <w:rsid w:val="00847EF3"/>
    <w:rsid w:val="00854FFC"/>
    <w:rsid w:val="00864034"/>
    <w:rsid w:val="00864767"/>
    <w:rsid w:val="0087010D"/>
    <w:rsid w:val="00881BFA"/>
    <w:rsid w:val="008875A2"/>
    <w:rsid w:val="00895C5B"/>
    <w:rsid w:val="008B32AA"/>
    <w:rsid w:val="008C5921"/>
    <w:rsid w:val="008C60BB"/>
    <w:rsid w:val="008D0B2F"/>
    <w:rsid w:val="008D3C78"/>
    <w:rsid w:val="008F341C"/>
    <w:rsid w:val="008F4E7A"/>
    <w:rsid w:val="00927988"/>
    <w:rsid w:val="009310E1"/>
    <w:rsid w:val="0094395E"/>
    <w:rsid w:val="00965F8A"/>
    <w:rsid w:val="009767EF"/>
    <w:rsid w:val="00976FDA"/>
    <w:rsid w:val="00980F0D"/>
    <w:rsid w:val="00983548"/>
    <w:rsid w:val="009B5D72"/>
    <w:rsid w:val="009D009D"/>
    <w:rsid w:val="009D36CD"/>
    <w:rsid w:val="009F0703"/>
    <w:rsid w:val="009F3935"/>
    <w:rsid w:val="009F55C5"/>
    <w:rsid w:val="00A120B4"/>
    <w:rsid w:val="00A1286E"/>
    <w:rsid w:val="00A16DF4"/>
    <w:rsid w:val="00A210AB"/>
    <w:rsid w:val="00A21BF2"/>
    <w:rsid w:val="00A27821"/>
    <w:rsid w:val="00A35798"/>
    <w:rsid w:val="00A367BD"/>
    <w:rsid w:val="00A466EF"/>
    <w:rsid w:val="00A837B3"/>
    <w:rsid w:val="00A90E85"/>
    <w:rsid w:val="00AB3070"/>
    <w:rsid w:val="00AC79FA"/>
    <w:rsid w:val="00AE1CB1"/>
    <w:rsid w:val="00AE2B17"/>
    <w:rsid w:val="00AE618F"/>
    <w:rsid w:val="00AF1EA5"/>
    <w:rsid w:val="00AF37C3"/>
    <w:rsid w:val="00B06D73"/>
    <w:rsid w:val="00B1015A"/>
    <w:rsid w:val="00B17038"/>
    <w:rsid w:val="00B30B4E"/>
    <w:rsid w:val="00B41E64"/>
    <w:rsid w:val="00B456BC"/>
    <w:rsid w:val="00B519AD"/>
    <w:rsid w:val="00B559FE"/>
    <w:rsid w:val="00B5681B"/>
    <w:rsid w:val="00B62139"/>
    <w:rsid w:val="00B64FF1"/>
    <w:rsid w:val="00B761A0"/>
    <w:rsid w:val="00B76384"/>
    <w:rsid w:val="00B94313"/>
    <w:rsid w:val="00B9546D"/>
    <w:rsid w:val="00B970D4"/>
    <w:rsid w:val="00BA11CE"/>
    <w:rsid w:val="00BA4AE0"/>
    <w:rsid w:val="00BC0E31"/>
    <w:rsid w:val="00BD0CF0"/>
    <w:rsid w:val="00BD2992"/>
    <w:rsid w:val="00BE7F55"/>
    <w:rsid w:val="00BF623F"/>
    <w:rsid w:val="00BF6D20"/>
    <w:rsid w:val="00C017C6"/>
    <w:rsid w:val="00C04FE3"/>
    <w:rsid w:val="00C126DA"/>
    <w:rsid w:val="00C268B0"/>
    <w:rsid w:val="00C27642"/>
    <w:rsid w:val="00C43A51"/>
    <w:rsid w:val="00C51540"/>
    <w:rsid w:val="00C548F8"/>
    <w:rsid w:val="00C700C5"/>
    <w:rsid w:val="00C85F93"/>
    <w:rsid w:val="00CA2204"/>
    <w:rsid w:val="00CB1354"/>
    <w:rsid w:val="00CB2A7E"/>
    <w:rsid w:val="00CB403A"/>
    <w:rsid w:val="00CB6163"/>
    <w:rsid w:val="00CC2A75"/>
    <w:rsid w:val="00CE633E"/>
    <w:rsid w:val="00CF092F"/>
    <w:rsid w:val="00CF106A"/>
    <w:rsid w:val="00CF4BA0"/>
    <w:rsid w:val="00CF6070"/>
    <w:rsid w:val="00D270E8"/>
    <w:rsid w:val="00D41F4D"/>
    <w:rsid w:val="00D46BD3"/>
    <w:rsid w:val="00D5037E"/>
    <w:rsid w:val="00D51A8B"/>
    <w:rsid w:val="00D53EA7"/>
    <w:rsid w:val="00D56DA1"/>
    <w:rsid w:val="00D67558"/>
    <w:rsid w:val="00D67674"/>
    <w:rsid w:val="00D76245"/>
    <w:rsid w:val="00DA1659"/>
    <w:rsid w:val="00DA5F72"/>
    <w:rsid w:val="00DB5244"/>
    <w:rsid w:val="00DE03AC"/>
    <w:rsid w:val="00DE0484"/>
    <w:rsid w:val="00DE199D"/>
    <w:rsid w:val="00DE7971"/>
    <w:rsid w:val="00DE7CC2"/>
    <w:rsid w:val="00DF1C0A"/>
    <w:rsid w:val="00DF1DEE"/>
    <w:rsid w:val="00E022D2"/>
    <w:rsid w:val="00E06529"/>
    <w:rsid w:val="00E1712C"/>
    <w:rsid w:val="00E17AFE"/>
    <w:rsid w:val="00E17B66"/>
    <w:rsid w:val="00E21625"/>
    <w:rsid w:val="00E27D0A"/>
    <w:rsid w:val="00E354D9"/>
    <w:rsid w:val="00E40AD8"/>
    <w:rsid w:val="00E52987"/>
    <w:rsid w:val="00E60162"/>
    <w:rsid w:val="00E641CC"/>
    <w:rsid w:val="00E713F3"/>
    <w:rsid w:val="00E82E9B"/>
    <w:rsid w:val="00E85A2F"/>
    <w:rsid w:val="00E90083"/>
    <w:rsid w:val="00EA79AB"/>
    <w:rsid w:val="00ED3711"/>
    <w:rsid w:val="00EE3D80"/>
    <w:rsid w:val="00EF67FB"/>
    <w:rsid w:val="00F17F8C"/>
    <w:rsid w:val="00F21A8E"/>
    <w:rsid w:val="00F23D3D"/>
    <w:rsid w:val="00F25DE4"/>
    <w:rsid w:val="00F43AE9"/>
    <w:rsid w:val="00F60FBE"/>
    <w:rsid w:val="00F61D8D"/>
    <w:rsid w:val="00F64B4D"/>
    <w:rsid w:val="00F660F7"/>
    <w:rsid w:val="00F666A7"/>
    <w:rsid w:val="00F74C8B"/>
    <w:rsid w:val="00F9334B"/>
    <w:rsid w:val="00F96915"/>
    <w:rsid w:val="00FA06AC"/>
    <w:rsid w:val="00FA0933"/>
    <w:rsid w:val="00FA0938"/>
    <w:rsid w:val="00FB0E8E"/>
    <w:rsid w:val="00FB2167"/>
    <w:rsid w:val="00FD4B12"/>
    <w:rsid w:val="00FE75E4"/>
    <w:rsid w:val="00FF28AD"/>
    <w:rsid w:val="00FF79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man Old Style" w:eastAsiaTheme="minorHAnsi" w:hAnsi="Bookman Old Style" w:cstheme="minorBidi"/>
        <w:sz w:val="22"/>
        <w:szCs w:val="22"/>
        <w:lang w:val="es-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1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575E"/>
    <w:pPr>
      <w:ind w:left="720"/>
      <w:contextualSpacing/>
    </w:pPr>
  </w:style>
  <w:style w:type="paragraph" w:styleId="HTMLconformatoprevio">
    <w:name w:val="HTML Preformatted"/>
    <w:basedOn w:val="Normal"/>
    <w:link w:val="HTMLconformatoprevioCar"/>
    <w:uiPriority w:val="99"/>
    <w:unhideWhenUsed/>
    <w:rsid w:val="0043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437641"/>
    <w:rPr>
      <w:rFonts w:ascii="Courier New" w:eastAsia="Times New Roman" w:hAnsi="Courier New" w:cs="Courier New"/>
      <w:sz w:val="20"/>
      <w:szCs w:val="20"/>
      <w:lang w:eastAsia="es-AR"/>
    </w:rPr>
  </w:style>
  <w:style w:type="character" w:customStyle="1" w:styleId="gnkrckgcmsb">
    <w:name w:val="gnkrckgcmsb"/>
    <w:basedOn w:val="Fuentedeprrafopredeter"/>
    <w:rsid w:val="00437641"/>
  </w:style>
  <w:style w:type="character" w:customStyle="1" w:styleId="gnkrckgcmrb">
    <w:name w:val="gnkrckgcmrb"/>
    <w:basedOn w:val="Fuentedeprrafopredeter"/>
    <w:rsid w:val="00437641"/>
  </w:style>
  <w:style w:type="character" w:customStyle="1" w:styleId="gnkrckgcgsb">
    <w:name w:val="gnkrckgcgsb"/>
    <w:basedOn w:val="Fuentedeprrafopredeter"/>
    <w:rsid w:val="00437641"/>
  </w:style>
  <w:style w:type="table" w:styleId="Tablaconcuadrcula">
    <w:name w:val="Table Grid"/>
    <w:basedOn w:val="Tablanormal"/>
    <w:uiPriority w:val="59"/>
    <w:rsid w:val="007B42B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1439B"/>
    <w:rPr>
      <w:color w:val="0000FF" w:themeColor="hyperlink"/>
      <w:u w:val="single"/>
    </w:rPr>
  </w:style>
  <w:style w:type="paragraph" w:customStyle="1" w:styleId="Default">
    <w:name w:val="Default"/>
    <w:rsid w:val="00E52987"/>
    <w:pPr>
      <w:autoSpaceDE w:val="0"/>
      <w:autoSpaceDN w:val="0"/>
      <w:adjustRightInd w:val="0"/>
      <w:spacing w:line="240" w:lineRule="auto"/>
    </w:pPr>
    <w:rPr>
      <w:rFonts w:ascii="HelveticaNeueLT Std Cn" w:hAnsi="HelveticaNeueLT Std Cn" w:cs="HelveticaNeueLT Std Cn"/>
      <w:color w:val="000000"/>
      <w:sz w:val="24"/>
      <w:szCs w:val="24"/>
    </w:rPr>
  </w:style>
  <w:style w:type="paragraph" w:customStyle="1" w:styleId="Pa8">
    <w:name w:val="Pa8"/>
    <w:basedOn w:val="Default"/>
    <w:next w:val="Default"/>
    <w:uiPriority w:val="99"/>
    <w:rsid w:val="00E52987"/>
    <w:pPr>
      <w:spacing w:line="241" w:lineRule="atLeast"/>
    </w:pPr>
    <w:rPr>
      <w:rFonts w:cstheme="minorBidi"/>
      <w:color w:val="auto"/>
    </w:rPr>
  </w:style>
  <w:style w:type="character" w:customStyle="1" w:styleId="A8">
    <w:name w:val="A8"/>
    <w:uiPriority w:val="99"/>
    <w:rsid w:val="00E52987"/>
    <w:rPr>
      <w:rFonts w:cs="HelveticaNeueLT Std Cn"/>
      <w:b/>
      <w:bCs/>
      <w:color w:val="000000"/>
      <w:sz w:val="16"/>
      <w:szCs w:val="16"/>
    </w:rPr>
  </w:style>
  <w:style w:type="character" w:customStyle="1" w:styleId="A9">
    <w:name w:val="A9"/>
    <w:uiPriority w:val="99"/>
    <w:rsid w:val="00E52987"/>
    <w:rPr>
      <w:rFonts w:ascii="HelveticaNeueLT Std" w:hAnsi="HelveticaNeueLT Std" w:cs="HelveticaNeueLT Std"/>
      <w:color w:val="000000"/>
      <w:sz w:val="14"/>
      <w:szCs w:val="14"/>
    </w:rPr>
  </w:style>
  <w:style w:type="character" w:customStyle="1" w:styleId="A16">
    <w:name w:val="A16"/>
    <w:uiPriority w:val="99"/>
    <w:rsid w:val="00E52987"/>
    <w:rPr>
      <w:rFonts w:ascii="HelveticaNeueLT Std" w:hAnsi="HelveticaNeueLT Std" w:cs="HelveticaNeueLT Std"/>
      <w:color w:val="000000"/>
      <w:sz w:val="8"/>
      <w:szCs w:val="8"/>
    </w:rPr>
  </w:style>
  <w:style w:type="paragraph" w:styleId="Textodeglobo">
    <w:name w:val="Balloon Text"/>
    <w:basedOn w:val="Normal"/>
    <w:link w:val="TextodegloboCar"/>
    <w:uiPriority w:val="99"/>
    <w:semiHidden/>
    <w:unhideWhenUsed/>
    <w:rsid w:val="00DE199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99D"/>
    <w:rPr>
      <w:rFonts w:ascii="Tahoma" w:hAnsi="Tahoma" w:cs="Tahoma"/>
      <w:sz w:val="16"/>
      <w:szCs w:val="16"/>
    </w:rPr>
  </w:style>
  <w:style w:type="character" w:styleId="Hipervnculovisitado">
    <w:name w:val="FollowedHyperlink"/>
    <w:basedOn w:val="Fuentedeprrafopredeter"/>
    <w:uiPriority w:val="99"/>
    <w:semiHidden/>
    <w:unhideWhenUsed/>
    <w:rsid w:val="00AE1CB1"/>
    <w:rPr>
      <w:color w:val="800080" w:themeColor="followedHyperlink"/>
      <w:u w:val="single"/>
    </w:rPr>
  </w:style>
  <w:style w:type="character" w:styleId="Textoennegrita">
    <w:name w:val="Strong"/>
    <w:basedOn w:val="Fuentedeprrafopredeter"/>
    <w:uiPriority w:val="22"/>
    <w:qFormat/>
    <w:rsid w:val="007E008E"/>
    <w:rPr>
      <w:b/>
      <w:bCs/>
    </w:rPr>
  </w:style>
  <w:style w:type="paragraph" w:styleId="Encabezado">
    <w:name w:val="header"/>
    <w:basedOn w:val="Normal"/>
    <w:link w:val="EncabezadoCar"/>
    <w:uiPriority w:val="99"/>
    <w:unhideWhenUsed/>
    <w:rsid w:val="00FE75E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E75E4"/>
  </w:style>
  <w:style w:type="paragraph" w:styleId="Piedepgina">
    <w:name w:val="footer"/>
    <w:basedOn w:val="Normal"/>
    <w:link w:val="PiedepginaCar"/>
    <w:uiPriority w:val="99"/>
    <w:unhideWhenUsed/>
    <w:rsid w:val="00FE75E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E75E4"/>
  </w:style>
  <w:style w:type="character" w:customStyle="1" w:styleId="pyg-p">
    <w:name w:val="pyg-p"/>
    <w:basedOn w:val="Fuentedeprrafopredeter"/>
    <w:rsid w:val="00722AB1"/>
  </w:style>
  <w:style w:type="character" w:customStyle="1" w:styleId="pyg-o">
    <w:name w:val="pyg-o"/>
    <w:basedOn w:val="Fuentedeprrafopredeter"/>
    <w:rsid w:val="00722AB1"/>
  </w:style>
  <w:style w:type="character" w:customStyle="1" w:styleId="pyg-m">
    <w:name w:val="pyg-m"/>
    <w:basedOn w:val="Fuentedeprrafopredeter"/>
    <w:rsid w:val="00722AB1"/>
  </w:style>
  <w:style w:type="character" w:customStyle="1" w:styleId="pyg-s">
    <w:name w:val="pyg-s"/>
    <w:basedOn w:val="Fuentedeprrafopredeter"/>
    <w:rsid w:val="00722AB1"/>
  </w:style>
  <w:style w:type="character" w:customStyle="1" w:styleId="pyg-kc">
    <w:name w:val="pyg-kc"/>
    <w:basedOn w:val="Fuentedeprrafopredeter"/>
    <w:rsid w:val="00722A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78144">
      <w:bodyDiv w:val="1"/>
      <w:marLeft w:val="0"/>
      <w:marRight w:val="0"/>
      <w:marTop w:val="0"/>
      <w:marBottom w:val="0"/>
      <w:divBdr>
        <w:top w:val="none" w:sz="0" w:space="0" w:color="auto"/>
        <w:left w:val="none" w:sz="0" w:space="0" w:color="auto"/>
        <w:bottom w:val="none" w:sz="0" w:space="0" w:color="auto"/>
        <w:right w:val="none" w:sz="0" w:space="0" w:color="auto"/>
      </w:divBdr>
    </w:div>
    <w:div w:id="327221559">
      <w:bodyDiv w:val="1"/>
      <w:marLeft w:val="0"/>
      <w:marRight w:val="0"/>
      <w:marTop w:val="0"/>
      <w:marBottom w:val="0"/>
      <w:divBdr>
        <w:top w:val="none" w:sz="0" w:space="0" w:color="auto"/>
        <w:left w:val="none" w:sz="0" w:space="0" w:color="auto"/>
        <w:bottom w:val="none" w:sz="0" w:space="0" w:color="auto"/>
        <w:right w:val="none" w:sz="0" w:space="0" w:color="auto"/>
      </w:divBdr>
    </w:div>
    <w:div w:id="1328172867">
      <w:bodyDiv w:val="1"/>
      <w:marLeft w:val="0"/>
      <w:marRight w:val="0"/>
      <w:marTop w:val="0"/>
      <w:marBottom w:val="0"/>
      <w:divBdr>
        <w:top w:val="none" w:sz="0" w:space="0" w:color="auto"/>
        <w:left w:val="none" w:sz="0" w:space="0" w:color="auto"/>
        <w:bottom w:val="none" w:sz="0" w:space="0" w:color="auto"/>
        <w:right w:val="none" w:sz="0" w:space="0" w:color="auto"/>
      </w:divBdr>
    </w:div>
    <w:div w:id="1406413813">
      <w:bodyDiv w:val="1"/>
      <w:marLeft w:val="0"/>
      <w:marRight w:val="0"/>
      <w:marTop w:val="0"/>
      <w:marBottom w:val="0"/>
      <w:divBdr>
        <w:top w:val="none" w:sz="0" w:space="0" w:color="auto"/>
        <w:left w:val="none" w:sz="0" w:space="0" w:color="auto"/>
        <w:bottom w:val="none" w:sz="0" w:space="0" w:color="auto"/>
        <w:right w:val="none" w:sz="0" w:space="0" w:color="auto"/>
      </w:divBdr>
      <w:divsChild>
        <w:div w:id="1016419038">
          <w:marLeft w:val="0"/>
          <w:marRight w:val="0"/>
          <w:marTop w:val="0"/>
          <w:marBottom w:val="0"/>
          <w:divBdr>
            <w:top w:val="none" w:sz="0" w:space="0" w:color="auto"/>
            <w:left w:val="none" w:sz="0" w:space="0" w:color="auto"/>
            <w:bottom w:val="none" w:sz="0" w:space="0" w:color="auto"/>
            <w:right w:val="none" w:sz="0" w:space="0" w:color="auto"/>
          </w:divBdr>
        </w:div>
      </w:divsChild>
    </w:div>
    <w:div w:id="1452551796">
      <w:bodyDiv w:val="1"/>
      <w:marLeft w:val="0"/>
      <w:marRight w:val="0"/>
      <w:marTop w:val="0"/>
      <w:marBottom w:val="0"/>
      <w:divBdr>
        <w:top w:val="none" w:sz="0" w:space="0" w:color="auto"/>
        <w:left w:val="none" w:sz="0" w:space="0" w:color="auto"/>
        <w:bottom w:val="none" w:sz="0" w:space="0" w:color="auto"/>
        <w:right w:val="none" w:sz="0" w:space="0" w:color="auto"/>
      </w:divBdr>
      <w:divsChild>
        <w:div w:id="1544828181">
          <w:marLeft w:val="0"/>
          <w:marRight w:val="0"/>
          <w:marTop w:val="0"/>
          <w:marBottom w:val="0"/>
          <w:divBdr>
            <w:top w:val="none" w:sz="0" w:space="0" w:color="auto"/>
            <w:left w:val="none" w:sz="0" w:space="0" w:color="auto"/>
            <w:bottom w:val="none" w:sz="0" w:space="0" w:color="auto"/>
            <w:right w:val="none" w:sz="0" w:space="0" w:color="auto"/>
          </w:divBdr>
        </w:div>
      </w:divsChild>
    </w:div>
    <w:div w:id="1464345021">
      <w:bodyDiv w:val="1"/>
      <w:marLeft w:val="0"/>
      <w:marRight w:val="0"/>
      <w:marTop w:val="0"/>
      <w:marBottom w:val="0"/>
      <w:divBdr>
        <w:top w:val="none" w:sz="0" w:space="0" w:color="auto"/>
        <w:left w:val="none" w:sz="0" w:space="0" w:color="auto"/>
        <w:bottom w:val="none" w:sz="0" w:space="0" w:color="auto"/>
        <w:right w:val="none" w:sz="0" w:space="0" w:color="auto"/>
      </w:divBdr>
    </w:div>
    <w:div w:id="1707753224">
      <w:bodyDiv w:val="1"/>
      <w:marLeft w:val="0"/>
      <w:marRight w:val="0"/>
      <w:marTop w:val="0"/>
      <w:marBottom w:val="0"/>
      <w:divBdr>
        <w:top w:val="none" w:sz="0" w:space="0" w:color="auto"/>
        <w:left w:val="none" w:sz="0" w:space="0" w:color="auto"/>
        <w:bottom w:val="none" w:sz="0" w:space="0" w:color="auto"/>
        <w:right w:val="none" w:sz="0" w:space="0" w:color="auto"/>
      </w:divBdr>
    </w:div>
    <w:div w:id="214230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1CE1F-7BAB-4BDC-99DB-B0F8DEBCD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20</Pages>
  <Words>10798</Words>
  <Characters>59393</Characters>
  <Application>Microsoft Office Word</Application>
  <DocSecurity>0</DocSecurity>
  <Lines>494</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cp:lastPrinted>2018-09-25T16:51:00Z</cp:lastPrinted>
  <dcterms:created xsi:type="dcterms:W3CDTF">2020-04-06T20:59:00Z</dcterms:created>
  <dcterms:modified xsi:type="dcterms:W3CDTF">2020-04-07T11:56:00Z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24a62469-a12a-34f0-aec9-1909fa64af06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