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5D2" w:rsidRPr="003555D2" w:rsidRDefault="00F6477E" w:rsidP="00690D84">
      <w:pPr>
        <w:spacing w:after="0"/>
        <w:jc w:val="both"/>
        <w:rPr>
          <w:rFonts w:ascii="Bookman Old Style" w:hAnsi="Bookman Old Style"/>
        </w:rPr>
      </w:pPr>
      <w:r w:rsidRPr="003555D2">
        <w:rPr>
          <w:rFonts w:ascii="Bookman Old Style" w:hAnsi="Bookman Old Style"/>
        </w:rPr>
        <w:t>Una sociedad es má</w:t>
      </w:r>
      <w:r w:rsidR="00B408C6" w:rsidRPr="003555D2">
        <w:rPr>
          <w:rFonts w:ascii="Bookman Old Style" w:hAnsi="Bookman Old Style"/>
        </w:rPr>
        <w:t>s humana en la medida que las oportunidades de alcanzar los objetiv</w:t>
      </w:r>
      <w:r w:rsidRPr="003555D2">
        <w:rPr>
          <w:rFonts w:ascii="Bookman Old Style" w:hAnsi="Bookman Old Style"/>
        </w:rPr>
        <w:t>o</w:t>
      </w:r>
      <w:r w:rsidR="00B408C6" w:rsidRPr="003555D2">
        <w:rPr>
          <w:rFonts w:ascii="Bookman Old Style" w:hAnsi="Bookman Old Style"/>
        </w:rPr>
        <w:t xml:space="preserve">s individuales están </w:t>
      </w:r>
      <w:r w:rsidRPr="003555D2">
        <w:rPr>
          <w:rFonts w:ascii="Bookman Old Style" w:hAnsi="Bookman Old Style"/>
        </w:rPr>
        <w:t>distribui</w:t>
      </w:r>
      <w:r w:rsidR="00B408C6" w:rsidRPr="003555D2">
        <w:rPr>
          <w:rFonts w:ascii="Bookman Old Style" w:hAnsi="Bookman Old Style"/>
        </w:rPr>
        <w:t xml:space="preserve">das de manera equitativa y no son diferentes según características </w:t>
      </w:r>
      <w:r w:rsidRPr="003555D2">
        <w:rPr>
          <w:rFonts w:ascii="Bookman Old Style" w:hAnsi="Bookman Old Style"/>
        </w:rPr>
        <w:t>adscriptas de</w:t>
      </w:r>
      <w:r w:rsidR="00B408C6" w:rsidRPr="003555D2">
        <w:rPr>
          <w:rFonts w:ascii="Bookman Old Style" w:hAnsi="Bookman Old Style"/>
        </w:rPr>
        <w:t xml:space="preserve"> </w:t>
      </w:r>
      <w:r w:rsidRPr="003555D2">
        <w:rPr>
          <w:rFonts w:ascii="Bookman Old Style" w:hAnsi="Bookman Old Style"/>
        </w:rPr>
        <w:t>l</w:t>
      </w:r>
      <w:r w:rsidR="00B408C6" w:rsidRPr="003555D2">
        <w:rPr>
          <w:rFonts w:ascii="Bookman Old Style" w:hAnsi="Bookman Old Style"/>
        </w:rPr>
        <w:t>as personas. Aquellas sociedades en las que la pertenencia étnica, el se</w:t>
      </w:r>
      <w:r w:rsidRPr="003555D2">
        <w:rPr>
          <w:rFonts w:ascii="Bookman Old Style" w:hAnsi="Bookman Old Style"/>
        </w:rPr>
        <w:t>x</w:t>
      </w:r>
      <w:r w:rsidR="00B408C6" w:rsidRPr="003555D2">
        <w:rPr>
          <w:rFonts w:ascii="Bookman Old Style" w:hAnsi="Bookman Old Style"/>
        </w:rPr>
        <w:t xml:space="preserve">o o </w:t>
      </w:r>
      <w:r w:rsidRPr="003555D2">
        <w:rPr>
          <w:rFonts w:ascii="Bookman Old Style" w:hAnsi="Bookman Old Style"/>
        </w:rPr>
        <w:t xml:space="preserve">su aspecto físico generen diferencias en las oportunidades, es una sociedad menos avanzada. </w:t>
      </w:r>
      <w:r w:rsidR="003555D2" w:rsidRPr="003555D2">
        <w:rPr>
          <w:rFonts w:ascii="Bookman Old Style" w:hAnsi="Bookman Old Style"/>
        </w:rPr>
        <w:t>La gestión de políticas públicas dirigidas a mejorar el grado de equidad requieren estrategias de monitoreo, para observar el ritmo y la distribución de los logros</w:t>
      </w:r>
    </w:p>
    <w:p w:rsidR="00C21785" w:rsidRPr="003555D2" w:rsidRDefault="00F6477E" w:rsidP="00690D84">
      <w:pPr>
        <w:spacing w:after="0"/>
        <w:jc w:val="both"/>
        <w:rPr>
          <w:rFonts w:ascii="Bookman Old Style" w:hAnsi="Bookman Old Style"/>
        </w:rPr>
      </w:pPr>
      <w:r w:rsidRPr="003555D2">
        <w:rPr>
          <w:rFonts w:ascii="Bookman Old Style" w:hAnsi="Bookman Old Style"/>
        </w:rPr>
        <w:t>Las oportunidades están mediadas por la actividad laboral, como fuente de ingresos que permiten acceso a bienes y servicios disponibles en la época y como fuente de gratificación personal, dando sentido de integración a la sociedad.</w:t>
      </w:r>
      <w:r w:rsidR="003555D2" w:rsidRPr="003555D2">
        <w:rPr>
          <w:rFonts w:ascii="Bookman Old Style" w:hAnsi="Bookman Old Style"/>
        </w:rPr>
        <w:t xml:space="preserve"> </w:t>
      </w:r>
    </w:p>
    <w:p w:rsidR="00F6477E" w:rsidRPr="003555D2" w:rsidRDefault="00F6477E" w:rsidP="00690D84">
      <w:pPr>
        <w:spacing w:after="0"/>
        <w:jc w:val="both"/>
        <w:rPr>
          <w:rFonts w:ascii="Bookman Old Style" w:hAnsi="Bookman Old Style"/>
        </w:rPr>
      </w:pPr>
      <w:r w:rsidRPr="003555D2">
        <w:rPr>
          <w:rFonts w:ascii="Bookman Old Style" w:hAnsi="Bookman Old Style"/>
        </w:rPr>
        <w:t xml:space="preserve">Este trabajo es la primera etapa de un proyecto que tiene como objetivo analizar las diferencias en la inserción laboral en perspectiva longitudinal y transversal. La primera es una aproximación al modo en que una sociedad evoluciona hacia formas más inclusivas, o bien retrocede en dirección a discriminar por razones que no dependen de la voluntad </w:t>
      </w:r>
      <w:r w:rsidR="00473889">
        <w:rPr>
          <w:rFonts w:ascii="Bookman Old Style" w:hAnsi="Bookman Old Style"/>
        </w:rPr>
        <w:t xml:space="preserve">o el esfuerzo </w:t>
      </w:r>
      <w:r w:rsidRPr="003555D2">
        <w:rPr>
          <w:rFonts w:ascii="Bookman Old Style" w:hAnsi="Bookman Old Style"/>
        </w:rPr>
        <w:t>de las personas. La segunda, muestra el modo en que, dentro de un país, los logros en materia de equidad no son sincrónicos y que las heterogeneidades regionales son también fuente de inequidad.</w:t>
      </w:r>
    </w:p>
    <w:p w:rsidR="00B60814" w:rsidRDefault="00CA00A2" w:rsidP="00690D84">
      <w:pPr>
        <w:spacing w:after="0"/>
        <w:jc w:val="both"/>
        <w:rPr>
          <w:rFonts w:ascii="Bookman Old Style" w:hAnsi="Bookman Old Style"/>
        </w:rPr>
      </w:pPr>
      <w:r>
        <w:rPr>
          <w:rFonts w:ascii="Bookman Old Style" w:hAnsi="Bookman Old Style"/>
        </w:rPr>
        <w:t>Para lograr ese objetivo, s</w:t>
      </w:r>
      <w:r w:rsidR="00F6477E" w:rsidRPr="003555D2">
        <w:rPr>
          <w:rFonts w:ascii="Bookman Old Style" w:hAnsi="Bookman Old Style"/>
        </w:rPr>
        <w:t>e construye un índice que evalúa la calidad de la inserción laboral, reconociendo las limitaciones de las fuentes de datos disponibles</w:t>
      </w:r>
      <w:r>
        <w:rPr>
          <w:rFonts w:ascii="Bookman Old Style" w:hAnsi="Bookman Old Style"/>
        </w:rPr>
        <w:t xml:space="preserve">. </w:t>
      </w:r>
      <w:r w:rsidR="00B60814">
        <w:rPr>
          <w:rFonts w:ascii="Bookman Old Style" w:hAnsi="Bookman Old Style"/>
        </w:rPr>
        <w:t xml:space="preserve">El uso de una medida sintética </w:t>
      </w:r>
      <w:r w:rsidR="00D22013">
        <w:rPr>
          <w:rFonts w:ascii="Bookman Old Style" w:hAnsi="Bookman Old Style"/>
        </w:rPr>
        <w:t xml:space="preserve">tiene la ventaja de presentar </w:t>
      </w:r>
      <w:r w:rsidR="00464E01">
        <w:rPr>
          <w:rFonts w:ascii="Bookman Old Style" w:hAnsi="Bookman Old Style"/>
        </w:rPr>
        <w:t>de</w:t>
      </w:r>
      <w:r w:rsidR="00D22013">
        <w:rPr>
          <w:rFonts w:ascii="Bookman Old Style" w:hAnsi="Bookman Old Style"/>
        </w:rPr>
        <w:t xml:space="preserve"> manera abreviada información compleja y multidimensio</w:t>
      </w:r>
      <w:r w:rsidR="00473889">
        <w:rPr>
          <w:rFonts w:ascii="Bookman Old Style" w:hAnsi="Bookman Old Style"/>
        </w:rPr>
        <w:t>n</w:t>
      </w:r>
      <w:r w:rsidR="00D22013">
        <w:rPr>
          <w:rFonts w:ascii="Bookman Old Style" w:hAnsi="Bookman Old Style"/>
        </w:rPr>
        <w:t xml:space="preserve">al, al tiempo que es más adecuado para interpretar comparaciones y observaciones longitudinales. Sin embargo las operaciones realizadas para su construcción deben ser explícitas y comprensibles, de lo contrario se corre el riesgo de usarla para basar decisiones en información malinterpretada o </w:t>
      </w:r>
      <w:r w:rsidR="00473889">
        <w:rPr>
          <w:rFonts w:ascii="Bookman Old Style" w:hAnsi="Bookman Old Style"/>
        </w:rPr>
        <w:t xml:space="preserve">excesivamente </w:t>
      </w:r>
      <w:r w:rsidR="00D22013">
        <w:rPr>
          <w:rFonts w:ascii="Bookman Old Style" w:hAnsi="Bookman Old Style"/>
        </w:rPr>
        <w:t xml:space="preserve">simplificada. Además, </w:t>
      </w:r>
      <w:r w:rsidR="0095032A">
        <w:rPr>
          <w:rFonts w:ascii="Bookman Old Style" w:hAnsi="Bookman Old Style"/>
        </w:rPr>
        <w:t>la</w:t>
      </w:r>
      <w:r w:rsidR="00D22013">
        <w:rPr>
          <w:rFonts w:ascii="Bookman Old Style" w:hAnsi="Bookman Old Style"/>
        </w:rPr>
        <w:t xml:space="preserve"> elección de indicadores, </w:t>
      </w:r>
      <w:r w:rsidR="0095032A">
        <w:rPr>
          <w:rFonts w:ascii="Bookman Old Style" w:hAnsi="Bookman Old Style"/>
        </w:rPr>
        <w:t xml:space="preserve">de </w:t>
      </w:r>
      <w:r w:rsidR="00D22013">
        <w:rPr>
          <w:rFonts w:ascii="Bookman Old Style" w:hAnsi="Bookman Old Style"/>
        </w:rPr>
        <w:t xml:space="preserve">los pesos asignados a cada uno, así como </w:t>
      </w:r>
      <w:r w:rsidR="0095032A">
        <w:rPr>
          <w:rFonts w:ascii="Bookman Old Style" w:hAnsi="Bookman Old Style"/>
        </w:rPr>
        <w:t>d</w:t>
      </w:r>
      <w:r w:rsidR="00D22013">
        <w:rPr>
          <w:rFonts w:ascii="Bookman Old Style" w:hAnsi="Bookman Old Style"/>
        </w:rPr>
        <w:t xml:space="preserve">el modo de combinarlos, </w:t>
      </w:r>
      <w:proofErr w:type="gramStart"/>
      <w:r w:rsidR="00D22013">
        <w:rPr>
          <w:rFonts w:ascii="Bookman Old Style" w:hAnsi="Bookman Old Style"/>
        </w:rPr>
        <w:t>son</w:t>
      </w:r>
      <w:proofErr w:type="gramEnd"/>
      <w:r w:rsidR="00D22013">
        <w:rPr>
          <w:rFonts w:ascii="Bookman Old Style" w:hAnsi="Bookman Old Style"/>
        </w:rPr>
        <w:t xml:space="preserve"> terreno de disputa, que se vuelve menos resoluble cuando </w:t>
      </w:r>
      <w:r w:rsidR="0095032A">
        <w:rPr>
          <w:rFonts w:ascii="Bookman Old Style" w:hAnsi="Bookman Old Style"/>
        </w:rPr>
        <w:t>las operaciones estadísticas oscurecen las decisiones.</w:t>
      </w:r>
    </w:p>
    <w:p w:rsidR="00F44158" w:rsidRPr="00D22013" w:rsidRDefault="00F44158" w:rsidP="00690D84">
      <w:pPr>
        <w:spacing w:after="0"/>
        <w:jc w:val="both"/>
        <w:rPr>
          <w:rFonts w:ascii="Bookman Old Style" w:hAnsi="Bookman Old Style"/>
        </w:rPr>
      </w:pPr>
      <w:r>
        <w:rPr>
          <w:rFonts w:ascii="Bookman Old Style" w:hAnsi="Bookman Old Style"/>
        </w:rPr>
        <w:t>En este trabajo se hace una propuesta de índice sintético como medio para monitorear los cambios en la distribución de la calidad de la ocupación entre varones y mujeres y entre nativos y extranjeros.</w:t>
      </w:r>
    </w:p>
    <w:p w:rsidR="00BD723E" w:rsidRDefault="00BD723E" w:rsidP="00690D84">
      <w:pPr>
        <w:spacing w:after="0"/>
        <w:jc w:val="both"/>
        <w:rPr>
          <w:rFonts w:ascii="Bookman Old Style" w:hAnsi="Bookman Old Style"/>
        </w:rPr>
      </w:pPr>
    </w:p>
    <w:p w:rsidR="00A77060" w:rsidRPr="00380426" w:rsidRDefault="00A77060" w:rsidP="00690D84">
      <w:pPr>
        <w:spacing w:after="0"/>
        <w:jc w:val="both"/>
        <w:rPr>
          <w:rFonts w:ascii="Bookman Old Style" w:hAnsi="Bookman Old Style"/>
          <w:highlight w:val="yellow"/>
        </w:rPr>
      </w:pPr>
      <w:r w:rsidRPr="00380426">
        <w:rPr>
          <w:rFonts w:ascii="Bookman Old Style" w:hAnsi="Bookman Old Style"/>
          <w:highlight w:val="yellow"/>
        </w:rPr>
        <w:t>Antecedentes</w:t>
      </w:r>
    </w:p>
    <w:p w:rsidR="00A77060" w:rsidRPr="003555D2" w:rsidRDefault="00A77060" w:rsidP="00690D84">
      <w:pPr>
        <w:spacing w:after="0"/>
        <w:jc w:val="both"/>
        <w:rPr>
          <w:rFonts w:ascii="Bookman Old Style" w:hAnsi="Bookman Old Style"/>
        </w:rPr>
      </w:pPr>
      <w:r w:rsidRPr="00380426">
        <w:rPr>
          <w:rFonts w:ascii="Bookman Old Style" w:hAnsi="Bookman Old Style"/>
          <w:highlight w:val="yellow"/>
        </w:rPr>
        <w:t>Revisión de índices d</w:t>
      </w:r>
      <w:r w:rsidR="00C3703C" w:rsidRPr="00380426">
        <w:rPr>
          <w:rFonts w:ascii="Bookman Old Style" w:hAnsi="Bookman Old Style"/>
          <w:highlight w:val="yellow"/>
        </w:rPr>
        <w:t>e calidad de empleo, procedimiento</w:t>
      </w:r>
      <w:r w:rsidR="00380426" w:rsidRPr="00380426">
        <w:rPr>
          <w:rFonts w:ascii="Bookman Old Style" w:hAnsi="Bookman Old Style"/>
          <w:highlight w:val="yellow"/>
        </w:rPr>
        <w:t>s</w:t>
      </w:r>
      <w:r w:rsidR="00C3703C" w:rsidRPr="00380426">
        <w:rPr>
          <w:rFonts w:ascii="Bookman Old Style" w:hAnsi="Bookman Old Style"/>
          <w:highlight w:val="yellow"/>
        </w:rPr>
        <w:t xml:space="preserve"> de estandarización</w:t>
      </w:r>
    </w:p>
    <w:p w:rsidR="00380426" w:rsidRDefault="00380426" w:rsidP="00690D84">
      <w:pPr>
        <w:spacing w:after="0"/>
        <w:jc w:val="both"/>
        <w:rPr>
          <w:rFonts w:ascii="Bookman Old Style" w:hAnsi="Bookman Old Style"/>
        </w:rPr>
      </w:pPr>
    </w:p>
    <w:p w:rsidR="00DE42DA" w:rsidRPr="00DE42DA" w:rsidRDefault="00B60814" w:rsidP="00690D84">
      <w:pPr>
        <w:spacing w:after="0"/>
        <w:jc w:val="both"/>
        <w:rPr>
          <w:rFonts w:ascii="Bookman Old Style" w:hAnsi="Bookman Old Style"/>
        </w:rPr>
      </w:pPr>
      <w:r>
        <w:rPr>
          <w:rFonts w:ascii="Bookman Old Style" w:hAnsi="Bookman Old Style"/>
        </w:rPr>
        <w:t xml:space="preserve">A fin de reducir las limitaciones que afectan a las expresiones sintéticas de conceptos complejos, así como sus posibles consecuencias cuando son usadas para tomar decisiones de política pública, </w:t>
      </w:r>
      <w:r w:rsidR="0095032A">
        <w:rPr>
          <w:rFonts w:ascii="Bookman Old Style" w:hAnsi="Bookman Old Style"/>
        </w:rPr>
        <w:t>e</w:t>
      </w:r>
      <w:r w:rsidR="005F5183" w:rsidRPr="003555D2">
        <w:rPr>
          <w:rFonts w:ascii="Bookman Old Style" w:hAnsi="Bookman Old Style"/>
        </w:rPr>
        <w:t xml:space="preserve">l índice construido </w:t>
      </w:r>
      <w:r w:rsidR="00BB6B57">
        <w:rPr>
          <w:rFonts w:ascii="Bookman Old Style" w:hAnsi="Bookman Old Style"/>
        </w:rPr>
        <w:t xml:space="preserve">parte de </w:t>
      </w:r>
      <w:r w:rsidR="00E54872">
        <w:rPr>
          <w:rFonts w:ascii="Bookman Old Style" w:hAnsi="Bookman Old Style"/>
        </w:rPr>
        <w:t xml:space="preserve">la definición de </w:t>
      </w:r>
      <w:r w:rsidR="00DE42DA">
        <w:rPr>
          <w:rFonts w:ascii="Bookman Old Style" w:hAnsi="Bookman Old Style"/>
        </w:rPr>
        <w:t>l</w:t>
      </w:r>
      <w:r w:rsidR="00DE42DA" w:rsidRPr="00DE42DA">
        <w:rPr>
          <w:rFonts w:ascii="Bookman Old Style" w:hAnsi="Bookman Old Style"/>
        </w:rPr>
        <w:t xml:space="preserve">a Organización Internacional del Trabajo, </w:t>
      </w:r>
      <w:r w:rsidR="00DE42DA">
        <w:rPr>
          <w:rFonts w:ascii="Bookman Old Style" w:hAnsi="Bookman Old Style"/>
        </w:rPr>
        <w:t xml:space="preserve">para </w:t>
      </w:r>
      <w:r w:rsidR="00BB6B57">
        <w:rPr>
          <w:rFonts w:ascii="Bookman Old Style" w:hAnsi="Bookman Old Style"/>
        </w:rPr>
        <w:t>la cual</w:t>
      </w:r>
      <w:r w:rsidR="00DE42DA">
        <w:rPr>
          <w:rFonts w:ascii="Bookman Old Style" w:hAnsi="Bookman Old Style"/>
        </w:rPr>
        <w:t xml:space="preserve"> </w:t>
      </w:r>
      <w:r w:rsidR="00DE42DA" w:rsidRPr="00DE42DA">
        <w:rPr>
          <w:rFonts w:ascii="Bookman Old Style" w:hAnsi="Bookman Old Style"/>
        </w:rPr>
        <w:t xml:space="preserve">el "trabajo decente" </w:t>
      </w:r>
      <w:r w:rsidR="00DE42DA">
        <w:rPr>
          <w:rFonts w:ascii="Bookman Old Style" w:hAnsi="Bookman Old Style"/>
        </w:rPr>
        <w:t>es aquel que brinda</w:t>
      </w:r>
      <w:r w:rsidR="00DE42DA" w:rsidRPr="00DE42DA">
        <w:rPr>
          <w:rFonts w:ascii="Bookman Old Style" w:hAnsi="Bookman Old Style"/>
        </w:rPr>
        <w:t>:</w:t>
      </w:r>
    </w:p>
    <w:p w:rsidR="00DE42DA" w:rsidRPr="00DE42DA" w:rsidRDefault="00DE42DA" w:rsidP="00690D84">
      <w:pPr>
        <w:spacing w:after="0"/>
        <w:jc w:val="both"/>
        <w:rPr>
          <w:rFonts w:ascii="Bookman Old Style" w:hAnsi="Bookman Old Style"/>
        </w:rPr>
      </w:pPr>
      <w:r w:rsidRPr="00DE42DA">
        <w:rPr>
          <w:rFonts w:ascii="Bookman Old Style" w:hAnsi="Bookman Old Style"/>
        </w:rPr>
        <w:t xml:space="preserve">"… la oportunidad de acceder a un empleo productivo que genere un ingreso justo, la seguridad en el lugar de trabajo y la protección social para las familias, </w:t>
      </w:r>
      <w:r w:rsidRPr="00DE42DA">
        <w:rPr>
          <w:rFonts w:ascii="Bookman Old Style" w:hAnsi="Bookman Old Style"/>
        </w:rPr>
        <w:lastRenderedPageBreak/>
        <w:t>mejores perspectivas de desarrollo personal e integración social, libertad para que los individuos expresen sus opiniones, se organicen y participen en las decisiones que afectan sus vidas, y la igualdad de oportunidades y trato para todos, mujeres y hombres." (OIT, 2019)</w:t>
      </w:r>
    </w:p>
    <w:p w:rsidR="00DE42DA" w:rsidRDefault="00DE42DA" w:rsidP="00690D84">
      <w:pPr>
        <w:spacing w:after="0"/>
        <w:jc w:val="both"/>
        <w:rPr>
          <w:rFonts w:ascii="Bookman Old Style" w:hAnsi="Bookman Old Style"/>
        </w:rPr>
      </w:pPr>
      <w:r>
        <w:rPr>
          <w:rFonts w:ascii="Bookman Old Style" w:hAnsi="Bookman Old Style"/>
        </w:rPr>
        <w:t>Es una definición multidimensional</w:t>
      </w:r>
      <w:r w:rsidRPr="00DE42DA">
        <w:rPr>
          <w:rFonts w:ascii="Bookman Old Style" w:hAnsi="Bookman Old Style"/>
        </w:rPr>
        <w:t xml:space="preserve"> que ha</w:t>
      </w:r>
      <w:r>
        <w:rPr>
          <w:rFonts w:ascii="Bookman Old Style" w:hAnsi="Bookman Old Style"/>
        </w:rPr>
        <w:t xml:space="preserve"> sido transformada</w:t>
      </w:r>
      <w:r w:rsidRPr="00DE42DA">
        <w:rPr>
          <w:rFonts w:ascii="Bookman Old Style" w:hAnsi="Bookman Old Style"/>
        </w:rPr>
        <w:t xml:space="preserve"> en  indicadores observables de diferentes modos, </w:t>
      </w:r>
      <w:r w:rsidR="00BB6B57">
        <w:rPr>
          <w:rFonts w:ascii="Bookman Old Style" w:hAnsi="Bookman Old Style"/>
        </w:rPr>
        <w:t>para</w:t>
      </w:r>
      <w:r w:rsidRPr="00DE42DA">
        <w:rPr>
          <w:rFonts w:ascii="Bookman Old Style" w:hAnsi="Bookman Old Style"/>
        </w:rPr>
        <w:t xml:space="preserve"> de elaborar medidas sintéticas. Al decir de (</w:t>
      </w:r>
      <w:proofErr w:type="spellStart"/>
      <w:r w:rsidRPr="00DE42DA">
        <w:rPr>
          <w:rFonts w:ascii="Bookman Old Style" w:hAnsi="Bookman Old Style"/>
        </w:rPr>
        <w:t>Burchell</w:t>
      </w:r>
      <w:proofErr w:type="spellEnd"/>
      <w:r w:rsidRPr="00DE42DA">
        <w:rPr>
          <w:rFonts w:ascii="Bookman Old Style" w:hAnsi="Bookman Old Style"/>
        </w:rPr>
        <w:t xml:space="preserve">, </w:t>
      </w:r>
      <w:proofErr w:type="spellStart"/>
      <w:r w:rsidRPr="00DE42DA">
        <w:rPr>
          <w:rFonts w:ascii="Bookman Old Style" w:hAnsi="Bookman Old Style"/>
        </w:rPr>
        <w:t>Sehnbruch</w:t>
      </w:r>
      <w:proofErr w:type="spellEnd"/>
      <w:r w:rsidRPr="00DE42DA">
        <w:rPr>
          <w:rFonts w:ascii="Bookman Old Style" w:hAnsi="Bookman Old Style"/>
        </w:rPr>
        <w:t xml:space="preserve">, </w:t>
      </w:r>
      <w:proofErr w:type="spellStart"/>
      <w:r w:rsidRPr="00DE42DA">
        <w:rPr>
          <w:rFonts w:ascii="Bookman Old Style" w:hAnsi="Bookman Old Style"/>
        </w:rPr>
        <w:t>Piasna</w:t>
      </w:r>
      <w:proofErr w:type="spellEnd"/>
      <w:r w:rsidRPr="00DE42DA">
        <w:rPr>
          <w:rFonts w:ascii="Bookman Old Style" w:hAnsi="Bookman Old Style"/>
        </w:rPr>
        <w:t xml:space="preserve">, &amp; </w:t>
      </w:r>
      <w:proofErr w:type="spellStart"/>
      <w:r w:rsidRPr="00DE42DA">
        <w:rPr>
          <w:rFonts w:ascii="Bookman Old Style" w:hAnsi="Bookman Old Style"/>
        </w:rPr>
        <w:t>Agloni</w:t>
      </w:r>
      <w:proofErr w:type="spellEnd"/>
      <w:r w:rsidRPr="00DE42DA">
        <w:rPr>
          <w:rFonts w:ascii="Bookman Old Style" w:hAnsi="Bookman Old Style"/>
        </w:rPr>
        <w:t>, 2014), la pregunta que surge a partir de definiciones amplias</w:t>
      </w:r>
      <w:r w:rsidR="00BB6B57">
        <w:rPr>
          <w:rFonts w:ascii="Bookman Old Style" w:hAnsi="Bookman Old Style"/>
        </w:rPr>
        <w:t>, como la de OIT</w:t>
      </w:r>
      <w:r w:rsidRPr="00DE42DA">
        <w:rPr>
          <w:rFonts w:ascii="Bookman Old Style" w:hAnsi="Bookman Old Style"/>
        </w:rPr>
        <w:t xml:space="preserve">, que están basadas en los derechos de los trabajadores es cómo pueden ser </w:t>
      </w:r>
      <w:proofErr w:type="spellStart"/>
      <w:r w:rsidRPr="00DE42DA">
        <w:rPr>
          <w:rFonts w:ascii="Bookman Old Style" w:hAnsi="Bookman Old Style"/>
        </w:rPr>
        <w:t>operacionalizadas</w:t>
      </w:r>
      <w:proofErr w:type="spellEnd"/>
      <w:r w:rsidRPr="00DE42DA">
        <w:rPr>
          <w:rFonts w:ascii="Bookman Old Style" w:hAnsi="Bookman Old Style"/>
        </w:rPr>
        <w:t xml:space="preserve"> […] esta pregunta aún permanece irresuelta. El concepto de índice de calidad del empleo, también se aplica  a mediciones más rudimentarias, como sucede con el Job </w:t>
      </w:r>
      <w:proofErr w:type="spellStart"/>
      <w:r w:rsidRPr="00DE42DA">
        <w:rPr>
          <w:rFonts w:ascii="Bookman Old Style" w:hAnsi="Bookman Old Style"/>
        </w:rPr>
        <w:t>Quality</w:t>
      </w:r>
      <w:proofErr w:type="spellEnd"/>
      <w:r w:rsidRPr="00DE42DA">
        <w:rPr>
          <w:rFonts w:ascii="Bookman Old Style" w:hAnsi="Bookman Old Style"/>
        </w:rPr>
        <w:t xml:space="preserve"> </w:t>
      </w:r>
      <w:proofErr w:type="spellStart"/>
      <w:r w:rsidRPr="00DE42DA">
        <w:rPr>
          <w:rFonts w:ascii="Bookman Old Style" w:hAnsi="Bookman Old Style"/>
        </w:rPr>
        <w:t>Index</w:t>
      </w:r>
      <w:proofErr w:type="spellEnd"/>
      <w:r w:rsidRPr="00DE42DA">
        <w:rPr>
          <w:rFonts w:ascii="Bookman Old Style" w:hAnsi="Bookman Old Style"/>
        </w:rPr>
        <w:t xml:space="preserve"> de Estados Unidos (</w:t>
      </w:r>
      <w:proofErr w:type="spellStart"/>
      <w:r w:rsidRPr="00DE42DA">
        <w:rPr>
          <w:rFonts w:ascii="Bookman Old Style" w:hAnsi="Bookman Old Style"/>
        </w:rPr>
        <w:t>Alpert</w:t>
      </w:r>
      <w:proofErr w:type="spellEnd"/>
      <w:r w:rsidRPr="00DE42DA">
        <w:rPr>
          <w:rFonts w:ascii="Bookman Old Style" w:hAnsi="Bookman Old Style"/>
        </w:rPr>
        <w:t xml:space="preserve">, </w:t>
      </w:r>
      <w:proofErr w:type="spellStart"/>
      <w:r w:rsidRPr="00DE42DA">
        <w:rPr>
          <w:rFonts w:ascii="Bookman Old Style" w:hAnsi="Bookman Old Style"/>
        </w:rPr>
        <w:t>Ferry</w:t>
      </w:r>
      <w:proofErr w:type="spellEnd"/>
      <w:r w:rsidRPr="00DE42DA">
        <w:rPr>
          <w:rFonts w:ascii="Bookman Old Style" w:hAnsi="Bookman Old Style"/>
        </w:rPr>
        <w:t xml:space="preserve">, </w:t>
      </w:r>
      <w:proofErr w:type="spellStart"/>
      <w:r w:rsidRPr="00DE42DA">
        <w:rPr>
          <w:rFonts w:ascii="Bookman Old Style" w:hAnsi="Bookman Old Style"/>
        </w:rPr>
        <w:t>Hockett</w:t>
      </w:r>
      <w:proofErr w:type="spellEnd"/>
      <w:r w:rsidRPr="00DE42DA">
        <w:rPr>
          <w:rFonts w:ascii="Bookman Old Style" w:hAnsi="Bookman Old Style"/>
        </w:rPr>
        <w:t xml:space="preserve">, &amp; </w:t>
      </w:r>
      <w:proofErr w:type="spellStart"/>
      <w:r w:rsidRPr="00DE42DA">
        <w:rPr>
          <w:rFonts w:ascii="Bookman Old Style" w:hAnsi="Bookman Old Style"/>
        </w:rPr>
        <w:t>Khaleghi</w:t>
      </w:r>
      <w:proofErr w:type="spellEnd"/>
      <w:r w:rsidRPr="00DE42DA">
        <w:rPr>
          <w:rFonts w:ascii="Bookman Old Style" w:hAnsi="Bookman Old Style"/>
        </w:rPr>
        <w:t xml:space="preserve">, 2020) que tiene solo en cuenta la remuneración y las horas trabajadas. Los intentos de </w:t>
      </w:r>
      <w:proofErr w:type="spellStart"/>
      <w:r w:rsidRPr="00DE42DA">
        <w:rPr>
          <w:rFonts w:ascii="Bookman Old Style" w:hAnsi="Bookman Old Style"/>
        </w:rPr>
        <w:t>operacionalización</w:t>
      </w:r>
      <w:proofErr w:type="spellEnd"/>
      <w:r w:rsidRPr="00DE42DA">
        <w:rPr>
          <w:rFonts w:ascii="Bookman Old Style" w:hAnsi="Bookman Old Style"/>
        </w:rPr>
        <w:t xml:space="preserve"> más elaborados incluyen: la estabilidad laboral, el tiempo de trabajo, la capacitación, la autonomía del trabajador, y la percepción subjetiva del trabajador sobre la calidad de su ocupación. (</w:t>
      </w:r>
      <w:proofErr w:type="spellStart"/>
      <w:r w:rsidRPr="00DE42DA">
        <w:rPr>
          <w:rFonts w:ascii="Bookman Old Style" w:hAnsi="Bookman Old Style"/>
        </w:rPr>
        <w:t>Burchell</w:t>
      </w:r>
      <w:proofErr w:type="spellEnd"/>
      <w:r w:rsidRPr="00DE42DA">
        <w:rPr>
          <w:rFonts w:ascii="Bookman Old Style" w:hAnsi="Bookman Old Style"/>
        </w:rPr>
        <w:t xml:space="preserve"> et al., 2014)</w:t>
      </w:r>
    </w:p>
    <w:p w:rsidR="00464E01" w:rsidRDefault="00B74556" w:rsidP="00690D84">
      <w:pPr>
        <w:spacing w:after="0"/>
        <w:jc w:val="both"/>
        <w:rPr>
          <w:rFonts w:ascii="Bookman Old Style" w:hAnsi="Bookman Old Style"/>
        </w:rPr>
      </w:pPr>
      <w:r>
        <w:rPr>
          <w:rFonts w:ascii="Bookman Old Style" w:hAnsi="Bookman Old Style"/>
        </w:rPr>
        <w:t xml:space="preserve">El índice que aquí se propone no pretende reflejar de manera completa la complejidad del concepto </w:t>
      </w:r>
      <w:r w:rsidRPr="00B74556">
        <w:rPr>
          <w:rFonts w:ascii="Bookman Old Style" w:hAnsi="Bookman Old Style"/>
          <w:i/>
        </w:rPr>
        <w:t>calidad de la ocupación</w:t>
      </w:r>
      <w:r>
        <w:rPr>
          <w:rFonts w:ascii="Bookman Old Style" w:hAnsi="Bookman Old Style"/>
        </w:rPr>
        <w:t>, por el contrario, el foco está puesto en las comparaciones entre grupos poblacionales, para observar el grado de diferenciación que existe entre ellos. Este grado de diferenciación es el objeto de análisis, en términos de sus variaciones regionales y a lo largo del tiempo.</w:t>
      </w:r>
    </w:p>
    <w:p w:rsidR="00B74556" w:rsidRDefault="00B74556" w:rsidP="00690D84">
      <w:pPr>
        <w:spacing w:after="0"/>
        <w:jc w:val="both"/>
        <w:rPr>
          <w:rFonts w:ascii="Bookman Old Style" w:hAnsi="Bookman Old Style"/>
        </w:rPr>
      </w:pPr>
    </w:p>
    <w:p w:rsidR="00464E01" w:rsidRPr="00464E01" w:rsidRDefault="00464E01" w:rsidP="00690D84">
      <w:pPr>
        <w:spacing w:after="0"/>
        <w:jc w:val="both"/>
        <w:rPr>
          <w:rFonts w:ascii="Bookman Old Style" w:hAnsi="Bookman Old Style"/>
          <w:sz w:val="26"/>
          <w:szCs w:val="26"/>
        </w:rPr>
      </w:pPr>
      <w:r w:rsidRPr="00464E01">
        <w:rPr>
          <w:rFonts w:ascii="Bookman Old Style" w:hAnsi="Bookman Old Style"/>
          <w:sz w:val="26"/>
          <w:szCs w:val="26"/>
        </w:rPr>
        <w:t>Datos y método</w:t>
      </w:r>
    </w:p>
    <w:p w:rsidR="00464E01" w:rsidRDefault="00464E01" w:rsidP="00690D84">
      <w:pPr>
        <w:spacing w:after="0"/>
        <w:jc w:val="both"/>
        <w:rPr>
          <w:rFonts w:ascii="Bookman Old Style" w:hAnsi="Bookman Old Style"/>
        </w:rPr>
      </w:pPr>
      <w:r>
        <w:rPr>
          <w:rFonts w:ascii="Bookman Old Style" w:hAnsi="Bookman Old Style"/>
        </w:rPr>
        <w:t>A</w:t>
      </w:r>
      <w:r w:rsidRPr="003555D2">
        <w:rPr>
          <w:rFonts w:ascii="Bookman Old Style" w:hAnsi="Bookman Old Style"/>
        </w:rPr>
        <w:t xml:space="preserve"> fin de dar continuidad a los análisis, se </w:t>
      </w:r>
      <w:r>
        <w:rPr>
          <w:rFonts w:ascii="Bookman Old Style" w:hAnsi="Bookman Old Style"/>
        </w:rPr>
        <w:t xml:space="preserve">busca que el índice pueda calcularse en base a </w:t>
      </w:r>
      <w:r w:rsidRPr="003555D2">
        <w:rPr>
          <w:rFonts w:ascii="Bookman Old Style" w:hAnsi="Bookman Old Style"/>
        </w:rPr>
        <w:t xml:space="preserve">datos </w:t>
      </w:r>
      <w:r>
        <w:rPr>
          <w:rFonts w:ascii="Bookman Old Style" w:hAnsi="Bookman Old Style"/>
        </w:rPr>
        <w:t xml:space="preserve">provenientes </w:t>
      </w:r>
      <w:r w:rsidRPr="003555D2">
        <w:rPr>
          <w:rFonts w:ascii="Bookman Old Style" w:hAnsi="Bookman Old Style"/>
        </w:rPr>
        <w:t>de la Encuesta Permanente de Hogares</w:t>
      </w:r>
      <w:r>
        <w:rPr>
          <w:rFonts w:ascii="Bookman Old Style" w:hAnsi="Bookman Old Style"/>
        </w:rPr>
        <w:t>,</w:t>
      </w:r>
      <w:r w:rsidRPr="003555D2">
        <w:rPr>
          <w:rFonts w:ascii="Bookman Old Style" w:hAnsi="Bookman Old Style"/>
        </w:rPr>
        <w:t xml:space="preserve"> que cuenta con descripciones detalladas de las características de la actividad laboral de las personas residentes en los principales aglomerados urbanos de Argentina. Este trabajo es de carácter metodológico y apunta a la construcción del índice y la evaluación de su pertinencia para observar el constructo "calidad del empleo", en el marco de las restricciones que imponen los datos. </w:t>
      </w:r>
      <w:r>
        <w:rPr>
          <w:rFonts w:ascii="Bookman Old Style" w:hAnsi="Bookman Old Style"/>
        </w:rPr>
        <w:t xml:space="preserve">El diagnóstico sobre la pertinencia se basa en la capacidad del índice para poner en evidencia diferencias que son conocidas en el momento, de tal modo que se puedan usar como referencia para las comparaciones entre regiones (transversales) y a lo largo del tiempo (longitudinales). </w:t>
      </w:r>
      <w:r w:rsidRPr="003555D2">
        <w:rPr>
          <w:rFonts w:ascii="Bookman Old Style" w:hAnsi="Bookman Old Style"/>
        </w:rPr>
        <w:t>Para ello, en lugar de la EPH, se utiliza la ECETSS, que tiene como ventaja que releva más aspectos de la inserción laboral, pero la desventaja de carecer de la periodicidad de la primera.</w:t>
      </w:r>
    </w:p>
    <w:p w:rsidR="00464E01" w:rsidRDefault="00464E01" w:rsidP="00690D84">
      <w:pPr>
        <w:spacing w:after="0"/>
        <w:jc w:val="both"/>
        <w:rPr>
          <w:rFonts w:ascii="Bookman Old Style" w:hAnsi="Bookman Old Style"/>
        </w:rPr>
      </w:pPr>
    </w:p>
    <w:p w:rsidR="00F6477E" w:rsidRDefault="00464E01" w:rsidP="00690D84">
      <w:pPr>
        <w:spacing w:after="0"/>
        <w:jc w:val="both"/>
        <w:rPr>
          <w:rFonts w:ascii="Bookman Old Style" w:hAnsi="Bookman Old Style"/>
        </w:rPr>
      </w:pPr>
      <w:r>
        <w:rPr>
          <w:rFonts w:ascii="Bookman Old Style" w:hAnsi="Bookman Old Style"/>
        </w:rPr>
        <w:t>Para este trabajo,</w:t>
      </w:r>
      <w:r w:rsidR="00BB6B57">
        <w:rPr>
          <w:rFonts w:ascii="Bookman Old Style" w:hAnsi="Bookman Old Style"/>
        </w:rPr>
        <w:t xml:space="preserve"> </w:t>
      </w:r>
      <w:r w:rsidR="00DE42DA">
        <w:rPr>
          <w:rFonts w:ascii="Bookman Old Style" w:hAnsi="Bookman Old Style"/>
        </w:rPr>
        <w:t xml:space="preserve">se </w:t>
      </w:r>
      <w:r w:rsidR="005F5183" w:rsidRPr="003555D2">
        <w:rPr>
          <w:rFonts w:ascii="Bookman Old Style" w:hAnsi="Bookman Old Style"/>
        </w:rPr>
        <w:t>tiene</w:t>
      </w:r>
      <w:r w:rsidR="00DE42DA">
        <w:rPr>
          <w:rFonts w:ascii="Bookman Old Style" w:hAnsi="Bookman Old Style"/>
        </w:rPr>
        <w:t>n</w:t>
      </w:r>
      <w:r w:rsidR="005F5183" w:rsidRPr="003555D2">
        <w:rPr>
          <w:rFonts w:ascii="Bookman Old Style" w:hAnsi="Bookman Old Style"/>
        </w:rPr>
        <w:t xml:space="preserve"> en cuenta</w:t>
      </w:r>
      <w:r w:rsidR="00C65220">
        <w:rPr>
          <w:rFonts w:ascii="Bookman Old Style" w:hAnsi="Bookman Old Style"/>
        </w:rPr>
        <w:t xml:space="preserve"> tres indicadores</w:t>
      </w:r>
      <w:r w:rsidR="009231C2">
        <w:rPr>
          <w:rFonts w:ascii="Bookman Old Style" w:hAnsi="Bookman Old Style"/>
        </w:rPr>
        <w:t>:</w:t>
      </w:r>
      <w:r w:rsidR="00B46D70">
        <w:rPr>
          <w:rFonts w:ascii="Bookman Old Style" w:hAnsi="Bookman Old Style"/>
        </w:rPr>
        <w:t xml:space="preserve"> </w:t>
      </w:r>
      <w:r w:rsidR="00DE42DA">
        <w:rPr>
          <w:rFonts w:ascii="Bookman Old Style" w:hAnsi="Bookman Old Style"/>
        </w:rPr>
        <w:t xml:space="preserve">i. la </w:t>
      </w:r>
      <w:r w:rsidR="00B46D70">
        <w:rPr>
          <w:rFonts w:ascii="Bookman Old Style" w:hAnsi="Bookman Old Style"/>
        </w:rPr>
        <w:t>seguridad</w:t>
      </w:r>
      <w:r w:rsidR="00DE42DA">
        <w:rPr>
          <w:rFonts w:ascii="Bookman Old Style" w:hAnsi="Bookman Old Style"/>
        </w:rPr>
        <w:t xml:space="preserve"> que ofrece el puesto de trabajo</w:t>
      </w:r>
      <w:r w:rsidR="00B46D70">
        <w:rPr>
          <w:rFonts w:ascii="Bookman Old Style" w:hAnsi="Bookman Old Style"/>
        </w:rPr>
        <w:t xml:space="preserve">, </w:t>
      </w:r>
      <w:r w:rsidR="00DE42DA">
        <w:rPr>
          <w:rFonts w:ascii="Bookman Old Style" w:hAnsi="Bookman Old Style"/>
        </w:rPr>
        <w:t xml:space="preserve">ii. </w:t>
      </w:r>
      <w:proofErr w:type="gramStart"/>
      <w:r w:rsidR="00DE42DA">
        <w:rPr>
          <w:rFonts w:ascii="Bookman Old Style" w:hAnsi="Bookman Old Style"/>
        </w:rPr>
        <w:t>la</w:t>
      </w:r>
      <w:proofErr w:type="gramEnd"/>
      <w:r w:rsidR="00DE42DA">
        <w:rPr>
          <w:rFonts w:ascii="Bookman Old Style" w:hAnsi="Bookman Old Style"/>
        </w:rPr>
        <w:t xml:space="preserve"> relación</w:t>
      </w:r>
      <w:r w:rsidR="009231C2">
        <w:rPr>
          <w:rFonts w:ascii="Bookman Old Style" w:hAnsi="Bookman Old Style"/>
        </w:rPr>
        <w:t xml:space="preserve"> entre </w:t>
      </w:r>
      <w:r w:rsidR="00DE42DA">
        <w:rPr>
          <w:rFonts w:ascii="Bookman Old Style" w:hAnsi="Bookman Old Style"/>
        </w:rPr>
        <w:t xml:space="preserve">la </w:t>
      </w:r>
      <w:r w:rsidR="009231C2">
        <w:rPr>
          <w:rFonts w:ascii="Bookman Old Style" w:hAnsi="Bookman Old Style"/>
        </w:rPr>
        <w:t xml:space="preserve">educación </w:t>
      </w:r>
      <w:r w:rsidR="00DE42DA">
        <w:rPr>
          <w:rFonts w:ascii="Bookman Old Style" w:hAnsi="Bookman Old Style"/>
        </w:rPr>
        <w:t xml:space="preserve">del trabajador </w:t>
      </w:r>
      <w:r w:rsidR="009231C2">
        <w:rPr>
          <w:rFonts w:ascii="Bookman Old Style" w:hAnsi="Bookman Old Style"/>
        </w:rPr>
        <w:t xml:space="preserve">y </w:t>
      </w:r>
      <w:r w:rsidR="00DE42DA">
        <w:rPr>
          <w:rFonts w:ascii="Bookman Old Style" w:hAnsi="Bookman Old Style"/>
        </w:rPr>
        <w:t xml:space="preserve">la </w:t>
      </w:r>
      <w:r w:rsidR="009231C2">
        <w:rPr>
          <w:rFonts w:ascii="Bookman Old Style" w:hAnsi="Bookman Old Style"/>
        </w:rPr>
        <w:t>calificación</w:t>
      </w:r>
      <w:r w:rsidR="00DE42DA">
        <w:rPr>
          <w:rFonts w:ascii="Bookman Old Style" w:hAnsi="Bookman Old Style"/>
        </w:rPr>
        <w:t xml:space="preserve"> exigida para desempeñar su tarea</w:t>
      </w:r>
      <w:r w:rsidR="00C65220">
        <w:rPr>
          <w:rFonts w:ascii="Bookman Old Style" w:hAnsi="Bookman Old Style"/>
        </w:rPr>
        <w:t xml:space="preserve">, </w:t>
      </w:r>
      <w:r w:rsidR="00DE42DA">
        <w:rPr>
          <w:rFonts w:ascii="Bookman Old Style" w:hAnsi="Bookman Old Style"/>
        </w:rPr>
        <w:t xml:space="preserve">y iii. </w:t>
      </w:r>
      <w:proofErr w:type="gramStart"/>
      <w:r w:rsidR="00DE42DA">
        <w:rPr>
          <w:rFonts w:ascii="Bookman Old Style" w:hAnsi="Bookman Old Style"/>
        </w:rPr>
        <w:t>los</w:t>
      </w:r>
      <w:proofErr w:type="gramEnd"/>
      <w:r w:rsidR="00DE42DA">
        <w:rPr>
          <w:rFonts w:ascii="Bookman Old Style" w:hAnsi="Bookman Old Style"/>
        </w:rPr>
        <w:t xml:space="preserve"> </w:t>
      </w:r>
      <w:r w:rsidR="00C65220">
        <w:rPr>
          <w:rFonts w:ascii="Bookman Old Style" w:hAnsi="Bookman Old Style"/>
        </w:rPr>
        <w:t>ingresos</w:t>
      </w:r>
      <w:r w:rsidR="00DE42DA">
        <w:rPr>
          <w:rFonts w:ascii="Bookman Old Style" w:hAnsi="Bookman Old Style"/>
        </w:rPr>
        <w:t xml:space="preserve"> laborales relativos.</w:t>
      </w:r>
    </w:p>
    <w:p w:rsidR="00B46D70" w:rsidRDefault="00B46D70" w:rsidP="00690D84">
      <w:pPr>
        <w:spacing w:after="0"/>
        <w:jc w:val="both"/>
        <w:rPr>
          <w:rFonts w:ascii="Bookman Old Style" w:hAnsi="Bookman Old Style"/>
        </w:rPr>
      </w:pPr>
      <w:r w:rsidRPr="00A40BA9">
        <w:rPr>
          <w:rFonts w:ascii="Bookman Old Style" w:hAnsi="Bookman Old Style"/>
          <w:i/>
        </w:rPr>
        <w:t>Seguridad</w:t>
      </w:r>
      <w:r>
        <w:rPr>
          <w:rFonts w:ascii="Bookman Old Style" w:hAnsi="Bookman Old Style"/>
        </w:rPr>
        <w:t xml:space="preserve"> se obtiene de la combinación entre la temporalidad de la actividad y la disponibilidad de servicio de cobertura de riesgos de salud. La temporalidad </w:t>
      </w:r>
      <w:r>
        <w:rPr>
          <w:rFonts w:ascii="Bookman Old Style" w:hAnsi="Bookman Old Style"/>
        </w:rPr>
        <w:lastRenderedPageBreak/>
        <w:t>establece la diferencia entre trabajos permanente</w:t>
      </w:r>
      <w:r w:rsidR="005469F6">
        <w:rPr>
          <w:rFonts w:ascii="Bookman Old Style" w:hAnsi="Bookman Old Style"/>
        </w:rPr>
        <w:t>s</w:t>
      </w:r>
      <w:r>
        <w:rPr>
          <w:rFonts w:ascii="Bookman Old Style" w:hAnsi="Bookman Old Style"/>
        </w:rPr>
        <w:t xml:space="preserve">, estacionales e intermitentes. La </w:t>
      </w:r>
      <w:r w:rsidR="005469F6">
        <w:rPr>
          <w:rFonts w:ascii="Bookman Old Style" w:hAnsi="Bookman Old Style"/>
        </w:rPr>
        <w:t>cobertura de salud se obtiene a partir de la existencia de obra social</w:t>
      </w:r>
      <w:r w:rsidR="00A40BA9">
        <w:rPr>
          <w:rFonts w:ascii="Bookman Old Style" w:hAnsi="Bookman Old Style"/>
        </w:rPr>
        <w:t xml:space="preserve">. </w:t>
      </w:r>
      <w:r>
        <w:rPr>
          <w:rFonts w:ascii="Bookman Old Style" w:hAnsi="Bookman Old Style"/>
        </w:rPr>
        <w:t>Esta componente hace referencia a la previsibilidad</w:t>
      </w:r>
      <w:r w:rsidR="00F83FA6">
        <w:rPr>
          <w:rFonts w:ascii="Bookman Old Style" w:hAnsi="Bookman Old Style"/>
        </w:rPr>
        <w:t xml:space="preserve"> que ofrece un trabajo</w:t>
      </w:r>
      <w:r>
        <w:rPr>
          <w:rFonts w:ascii="Bookman Old Style" w:hAnsi="Bookman Old Style"/>
        </w:rPr>
        <w:t xml:space="preserve">, a la posibilidad de hacer planes contando con la continuidad del empleo y sin amenazas que podrían provenir de accidentes o enfermedades que interrumpieran </w:t>
      </w:r>
      <w:r w:rsidR="00F83FA6">
        <w:rPr>
          <w:rFonts w:ascii="Bookman Old Style" w:hAnsi="Bookman Old Style"/>
        </w:rPr>
        <w:t>la actividad y los beneficios que provee.</w:t>
      </w:r>
    </w:p>
    <w:p w:rsidR="009231C2" w:rsidRDefault="0086723F" w:rsidP="00690D84">
      <w:pPr>
        <w:spacing w:after="0"/>
        <w:jc w:val="both"/>
        <w:rPr>
          <w:rFonts w:ascii="Bookman Old Style" w:hAnsi="Bookman Old Style"/>
        </w:rPr>
      </w:pPr>
      <w:r>
        <w:rPr>
          <w:rFonts w:ascii="Bookman Old Style" w:hAnsi="Bookman Old Style"/>
        </w:rPr>
        <w:t xml:space="preserve">La </w:t>
      </w:r>
      <w:r w:rsidRPr="00A40BA9">
        <w:rPr>
          <w:rFonts w:ascii="Bookman Old Style" w:hAnsi="Bookman Old Style"/>
          <w:i/>
        </w:rPr>
        <w:t>consistencia entre la educación y la calificación</w:t>
      </w:r>
      <w:r>
        <w:rPr>
          <w:rFonts w:ascii="Bookman Old Style" w:hAnsi="Bookman Old Style"/>
        </w:rPr>
        <w:t xml:space="preserve"> que solicita el trabajo es una fuente de gratificación de ansiedad o de frustración para el trabajador. Cuando las exigencias de un espacio de trabajo están por encima de las propias calificaciones, el trabajador confronta con sus limitaciones y sus esfuerzos para alcanzar los niveles que se requieren. Por el contrario, cuando un trabajador calificado debe realizar tareas que piden de él </w:t>
      </w:r>
      <w:r w:rsidR="00864835">
        <w:rPr>
          <w:rFonts w:ascii="Bookman Old Style" w:hAnsi="Bookman Old Style"/>
        </w:rPr>
        <w:t>menos de lo que podría hacer, su estado es de frustración, por la pérdida de su inversión en educación y por el tedio que la actividad provoca.</w:t>
      </w:r>
    </w:p>
    <w:p w:rsidR="00C65220" w:rsidRDefault="00C65220" w:rsidP="00690D84">
      <w:pPr>
        <w:spacing w:after="0"/>
        <w:jc w:val="both"/>
        <w:rPr>
          <w:rFonts w:ascii="Bookman Old Style" w:hAnsi="Bookman Old Style"/>
        </w:rPr>
      </w:pPr>
      <w:r>
        <w:rPr>
          <w:rFonts w:ascii="Bookman Old Style" w:hAnsi="Bookman Old Style"/>
        </w:rPr>
        <w:t xml:space="preserve">Los </w:t>
      </w:r>
      <w:r w:rsidRPr="00A40BA9">
        <w:rPr>
          <w:rFonts w:ascii="Bookman Old Style" w:hAnsi="Bookman Old Style"/>
          <w:i/>
        </w:rPr>
        <w:t>ingresos</w:t>
      </w:r>
      <w:r>
        <w:rPr>
          <w:rFonts w:ascii="Bookman Old Style" w:hAnsi="Bookman Old Style"/>
        </w:rPr>
        <w:t xml:space="preserve"> deben analizarse de manera relativa en dos aspectos; en términos de las horas que se trabajan y de su distribución geográfica. El primero es evidente, dado que se espera cierta correlación entre los ingresos provenientes del trabajo y el tiempo que se dedica a realizarlo. El segundo aspecto es especialmente importante en países con diferencias regionales grandes, ya que los diferentes costos de alimentación, vivienda, transporte y esparcimiento hacen que los montos brutos de ingresos no sean comparables entre las regiones.</w:t>
      </w:r>
    </w:p>
    <w:p w:rsidR="004C3FDD" w:rsidRDefault="004C3FDD" w:rsidP="00690D84">
      <w:pPr>
        <w:spacing w:after="0"/>
        <w:jc w:val="both"/>
        <w:rPr>
          <w:rFonts w:ascii="Bookman Old Style" w:hAnsi="Bookman Old Style"/>
        </w:rPr>
      </w:pPr>
    </w:p>
    <w:p w:rsidR="00C65220" w:rsidRPr="005004E7" w:rsidRDefault="00C65220" w:rsidP="00690D84">
      <w:pPr>
        <w:spacing w:after="0"/>
        <w:jc w:val="both"/>
        <w:rPr>
          <w:rFonts w:ascii="Bookman Old Style" w:hAnsi="Bookman Old Style"/>
          <w:sz w:val="26"/>
          <w:szCs w:val="26"/>
        </w:rPr>
      </w:pPr>
      <w:r w:rsidRPr="005004E7">
        <w:rPr>
          <w:rFonts w:ascii="Bookman Old Style" w:hAnsi="Bookman Old Style"/>
          <w:sz w:val="26"/>
          <w:szCs w:val="26"/>
        </w:rPr>
        <w:t>Generación y estandarización de los indicadores</w:t>
      </w:r>
    </w:p>
    <w:p w:rsidR="00C65220" w:rsidRPr="005004E7" w:rsidRDefault="006C404D" w:rsidP="00690D84">
      <w:pPr>
        <w:spacing w:after="0"/>
        <w:jc w:val="both"/>
        <w:rPr>
          <w:rFonts w:ascii="Bookman Old Style" w:hAnsi="Bookman Old Style"/>
          <w:b/>
        </w:rPr>
      </w:pPr>
      <w:r w:rsidRPr="005004E7">
        <w:rPr>
          <w:rFonts w:ascii="Bookman Old Style" w:hAnsi="Bookman Old Style"/>
          <w:b/>
        </w:rPr>
        <w:t>Seguridad</w:t>
      </w:r>
    </w:p>
    <w:p w:rsidR="006C404D" w:rsidRDefault="006C404D" w:rsidP="00690D84">
      <w:pPr>
        <w:spacing w:after="0"/>
        <w:jc w:val="both"/>
        <w:rPr>
          <w:rFonts w:ascii="Bookman Old Style" w:hAnsi="Bookman Old Style"/>
        </w:rPr>
      </w:pPr>
      <w:r>
        <w:rPr>
          <w:rFonts w:ascii="Bookman Old Style" w:hAnsi="Bookman Old Style"/>
        </w:rPr>
        <w:t>Se usan la pregunta:</w:t>
      </w:r>
    </w:p>
    <w:p w:rsidR="006C404D" w:rsidRDefault="006C404D" w:rsidP="00690D84">
      <w:pPr>
        <w:spacing w:after="0"/>
        <w:jc w:val="both"/>
        <w:rPr>
          <w:rFonts w:ascii="Bookman Old Style" w:hAnsi="Bookman Old Style"/>
        </w:rPr>
      </w:pPr>
      <w:r w:rsidRPr="006C404D">
        <w:rPr>
          <w:rFonts w:ascii="Bookman Old Style" w:hAnsi="Bookman Old Style"/>
        </w:rPr>
        <w:t xml:space="preserve">C1P2.6 </w:t>
      </w:r>
      <w:r>
        <w:rPr>
          <w:rFonts w:ascii="Bookman Old Style" w:hAnsi="Bookman Old Style"/>
        </w:rPr>
        <w:t xml:space="preserve">Su trabajo es: </w:t>
      </w:r>
      <w:r w:rsidRPr="006C404D">
        <w:rPr>
          <w:rFonts w:ascii="Bookman Old Style" w:hAnsi="Bookman Old Style"/>
        </w:rPr>
        <w:t>1 Permanente, tiene</w:t>
      </w:r>
      <w:r>
        <w:rPr>
          <w:rFonts w:ascii="Bookman Old Style" w:hAnsi="Bookman Old Style"/>
        </w:rPr>
        <w:t xml:space="preserve"> </w:t>
      </w:r>
      <w:r w:rsidRPr="006C404D">
        <w:rPr>
          <w:rFonts w:ascii="Bookman Old Style" w:hAnsi="Bookman Old Style"/>
        </w:rPr>
        <w:t>trabajo durante todo el año o de manera continua 2 De temporada o estacional 3 Intermitente (no de</w:t>
      </w:r>
      <w:r>
        <w:rPr>
          <w:rFonts w:ascii="Bookman Old Style" w:hAnsi="Bookman Old Style"/>
        </w:rPr>
        <w:t xml:space="preserve"> </w:t>
      </w:r>
      <w:r w:rsidRPr="006C404D">
        <w:rPr>
          <w:rFonts w:ascii="Bookman Old Style" w:hAnsi="Bookman Old Style"/>
        </w:rPr>
        <w:t>temporada o estacionario)</w:t>
      </w:r>
    </w:p>
    <w:p w:rsidR="006C404D" w:rsidRDefault="006C404D" w:rsidP="00690D84">
      <w:pPr>
        <w:spacing w:after="0"/>
        <w:jc w:val="both"/>
        <w:rPr>
          <w:rFonts w:ascii="Bookman Old Style" w:hAnsi="Bookman Old Style"/>
        </w:rPr>
      </w:pPr>
      <w:r>
        <w:rPr>
          <w:rFonts w:ascii="Bookman Old Style" w:hAnsi="Bookman Old Style"/>
        </w:rPr>
        <w:t xml:space="preserve">Combinada con </w:t>
      </w:r>
    </w:p>
    <w:p w:rsidR="006C404D" w:rsidRDefault="006C404D" w:rsidP="00690D84">
      <w:pPr>
        <w:spacing w:after="0"/>
        <w:jc w:val="both"/>
        <w:rPr>
          <w:rFonts w:ascii="Bookman Old Style" w:hAnsi="Bookman Old Style"/>
        </w:rPr>
      </w:pPr>
      <w:r w:rsidRPr="006C404D">
        <w:rPr>
          <w:rFonts w:ascii="Bookman Old Style" w:hAnsi="Bookman Old Style"/>
        </w:rPr>
        <w:t>C2P4.2 ¿Usted tiene obra social? 1 Sí</w:t>
      </w:r>
      <w:r>
        <w:rPr>
          <w:rFonts w:ascii="Bookman Old Style" w:hAnsi="Bookman Old Style"/>
        </w:rPr>
        <w:t xml:space="preserve"> </w:t>
      </w:r>
      <w:r w:rsidRPr="006C404D">
        <w:rPr>
          <w:rFonts w:ascii="Bookman Old Style" w:hAnsi="Bookman Old Style"/>
        </w:rPr>
        <w:t>2 No</w:t>
      </w:r>
      <w:r w:rsidR="005004E7">
        <w:rPr>
          <w:rFonts w:ascii="Bookman Old Style" w:hAnsi="Bookman Old Style"/>
        </w:rPr>
        <w:t xml:space="preserve"> (que es formulada de manera separada para trabajadores asalariados e independientes)</w:t>
      </w:r>
    </w:p>
    <w:p w:rsidR="006C404D" w:rsidRDefault="005004E7" w:rsidP="00690D84">
      <w:pPr>
        <w:spacing w:after="0"/>
        <w:jc w:val="both"/>
        <w:rPr>
          <w:rFonts w:ascii="Bookman Old Style" w:hAnsi="Bookman Old Style"/>
        </w:rPr>
      </w:pPr>
      <w:r>
        <w:rPr>
          <w:rFonts w:ascii="Bookman Old Style" w:hAnsi="Bookman Old Style"/>
        </w:rPr>
        <w:t>P</w:t>
      </w:r>
      <w:r w:rsidR="006C404D">
        <w:rPr>
          <w:rFonts w:ascii="Bookman Old Style" w:hAnsi="Bookman Old Style"/>
        </w:rPr>
        <w:t xml:space="preserve">ara dar lugar a una variable con seis categorías ordinales que </w:t>
      </w:r>
      <w:r>
        <w:rPr>
          <w:rFonts w:ascii="Bookman Old Style" w:hAnsi="Bookman Old Style"/>
        </w:rPr>
        <w:t xml:space="preserve">van </w:t>
      </w:r>
      <w:r w:rsidR="006C404D">
        <w:rPr>
          <w:rFonts w:ascii="Bookman Old Style" w:hAnsi="Bookman Old Style"/>
        </w:rPr>
        <w:t xml:space="preserve">desde 1: </w:t>
      </w:r>
      <w:r w:rsidR="006C404D" w:rsidRPr="006C404D">
        <w:rPr>
          <w:rFonts w:ascii="Bookman Old Style" w:hAnsi="Bookman Old Style"/>
        </w:rPr>
        <w:t>interm</w:t>
      </w:r>
      <w:r w:rsidR="006C404D">
        <w:rPr>
          <w:rFonts w:ascii="Bookman Old Style" w:hAnsi="Bookman Old Style"/>
        </w:rPr>
        <w:t xml:space="preserve">itente sin obra social, hasta 6: </w:t>
      </w:r>
      <w:r w:rsidR="006C404D" w:rsidRPr="006C404D">
        <w:rPr>
          <w:rFonts w:ascii="Bookman Old Style" w:hAnsi="Bookman Old Style"/>
        </w:rPr>
        <w:t>estable</w:t>
      </w:r>
      <w:r w:rsidR="006C404D">
        <w:rPr>
          <w:rFonts w:ascii="Bookman Old Style" w:hAnsi="Bookman Old Style"/>
        </w:rPr>
        <w:t xml:space="preserve"> </w:t>
      </w:r>
      <w:r w:rsidR="006C404D" w:rsidRPr="006C404D">
        <w:rPr>
          <w:rFonts w:ascii="Bookman Old Style" w:hAnsi="Bookman Old Style"/>
        </w:rPr>
        <w:t>con obra social</w:t>
      </w:r>
      <w:r w:rsidR="006C404D">
        <w:rPr>
          <w:rFonts w:ascii="Bookman Old Style" w:hAnsi="Bookman Old Style"/>
        </w:rPr>
        <w:t>.</w:t>
      </w:r>
    </w:p>
    <w:p w:rsidR="006C404D" w:rsidRDefault="006C404D" w:rsidP="00690D84">
      <w:pPr>
        <w:spacing w:after="0"/>
        <w:jc w:val="both"/>
        <w:rPr>
          <w:rFonts w:ascii="Bookman Old Style" w:hAnsi="Bookman Old Style"/>
        </w:rPr>
      </w:pPr>
      <w:r>
        <w:rPr>
          <w:rFonts w:ascii="Bookman Old Style" w:hAnsi="Bookman Old Style"/>
        </w:rPr>
        <w:t>El indicador se estandariza con el procedimiento clásico de escalar al intervalo 0-100, el rango de valores obtenidos empíricamente, asignando cero al mínimo puntaje observado en el indicador y 100 al máximo.</w:t>
      </w:r>
    </w:p>
    <w:p w:rsidR="005004E7" w:rsidRPr="005004E7" w:rsidRDefault="005004E7" w:rsidP="00690D84">
      <w:pPr>
        <w:spacing w:after="0"/>
        <w:jc w:val="both"/>
        <w:rPr>
          <w:rFonts w:ascii="Bookman Old Style" w:hAnsi="Bookman Old Style"/>
          <w:b/>
        </w:rPr>
      </w:pPr>
      <w:r w:rsidRPr="005004E7">
        <w:rPr>
          <w:rFonts w:ascii="Bookman Old Style" w:hAnsi="Bookman Old Style"/>
          <w:b/>
        </w:rPr>
        <w:t>Consistencia educación - calificación</w:t>
      </w:r>
    </w:p>
    <w:p w:rsidR="005004E7" w:rsidRDefault="005004E7" w:rsidP="00690D84">
      <w:pPr>
        <w:spacing w:after="0"/>
        <w:jc w:val="both"/>
        <w:rPr>
          <w:rFonts w:ascii="Bookman Old Style" w:hAnsi="Bookman Old Style"/>
        </w:rPr>
      </w:pPr>
      <w:r>
        <w:rPr>
          <w:rFonts w:ascii="Bookman Old Style" w:hAnsi="Bookman Old Style"/>
        </w:rPr>
        <w:t>Tanto la descripción de la actividad laboral como el nivel de educación son variables construidas por el INDEC a partir de preguntas del cuestionario administrado. La ocupación descripta por la persona encuestada, es codificada con las categorías del Clasificador Nacional de Ocupaciones. De esta codificación, para observar la c</w:t>
      </w:r>
      <w:r w:rsidRPr="005004E7">
        <w:rPr>
          <w:rFonts w:ascii="Bookman Old Style" w:hAnsi="Bookman Old Style"/>
        </w:rPr>
        <w:t>alificación ocupacional</w:t>
      </w:r>
      <w:r>
        <w:rPr>
          <w:rFonts w:ascii="Bookman Old Style" w:hAnsi="Bookman Old Style"/>
        </w:rPr>
        <w:t xml:space="preserve">, tomamos </w:t>
      </w:r>
      <w:r w:rsidRPr="005004E7">
        <w:rPr>
          <w:rFonts w:ascii="Bookman Old Style" w:hAnsi="Bookman Old Style"/>
        </w:rPr>
        <w:t>el quinto dígito</w:t>
      </w:r>
      <w:r>
        <w:rPr>
          <w:rFonts w:ascii="Bookman Old Style" w:hAnsi="Bookman Old Style"/>
        </w:rPr>
        <w:t xml:space="preserve">, que reconoce cuatro niveles: </w:t>
      </w:r>
      <w:r w:rsidRPr="005004E7">
        <w:rPr>
          <w:rFonts w:ascii="Bookman Old Style" w:hAnsi="Bookman Old Style"/>
        </w:rPr>
        <w:t>profesional, técnic</w:t>
      </w:r>
      <w:r>
        <w:rPr>
          <w:rFonts w:ascii="Bookman Old Style" w:hAnsi="Bookman Old Style"/>
        </w:rPr>
        <w:t xml:space="preserve">a, operativa, no calificada. La variable que </w:t>
      </w:r>
      <w:r>
        <w:rPr>
          <w:rFonts w:ascii="Bookman Old Style" w:hAnsi="Bookman Old Style"/>
        </w:rPr>
        <w:lastRenderedPageBreak/>
        <w:t>indica el máximo nivel de educación está elaborada a partir de varias preguntas del cuestionario: ¿asiste actualmente a un establecimiento educativo?, ¿cuál es el nivel más alto que cursa o cursó?, ¿hasta que año de ese nivel llegó</w:t>
      </w:r>
      <w:proofErr w:type="gramStart"/>
      <w:r>
        <w:rPr>
          <w:rFonts w:ascii="Bookman Old Style" w:hAnsi="Bookman Old Style"/>
        </w:rPr>
        <w:t>?.</w:t>
      </w:r>
      <w:proofErr w:type="gramEnd"/>
      <w:r>
        <w:rPr>
          <w:rFonts w:ascii="Bookman Old Style" w:hAnsi="Bookman Old Style"/>
        </w:rPr>
        <w:t xml:space="preserve"> La variable disponible en la base tiene </w:t>
      </w:r>
      <w:r w:rsidR="005A7119">
        <w:rPr>
          <w:rFonts w:ascii="Bookman Old Style" w:hAnsi="Bookman Old Style"/>
        </w:rPr>
        <w:t>siete niveles, desde 1: nunca asistió hasta 7: terciario o universitario completo</w:t>
      </w:r>
      <w:r w:rsidR="002B464C">
        <w:rPr>
          <w:rFonts w:ascii="Bookman Old Style" w:hAnsi="Bookman Old Style"/>
        </w:rPr>
        <w:t>.</w:t>
      </w:r>
    </w:p>
    <w:p w:rsidR="002B464C" w:rsidRDefault="002B464C" w:rsidP="00690D84">
      <w:pPr>
        <w:spacing w:after="0"/>
        <w:jc w:val="both"/>
        <w:rPr>
          <w:rFonts w:ascii="Bookman Old Style" w:hAnsi="Bookman Old Style"/>
        </w:rPr>
      </w:pPr>
      <w:r>
        <w:rPr>
          <w:rFonts w:ascii="Bookman Old Style" w:hAnsi="Bookman Old Style"/>
        </w:rPr>
        <w:t xml:space="preserve">La </w:t>
      </w:r>
      <w:r w:rsidR="00E54872">
        <w:rPr>
          <w:rFonts w:ascii="Bookman Old Style" w:hAnsi="Bookman Old Style"/>
        </w:rPr>
        <w:t>in</w:t>
      </w:r>
      <w:r>
        <w:rPr>
          <w:rFonts w:ascii="Bookman Old Style" w:hAnsi="Bookman Old Style"/>
        </w:rPr>
        <w:t xml:space="preserve">consistencia </w:t>
      </w:r>
      <w:r w:rsidR="00E54872">
        <w:rPr>
          <w:rFonts w:ascii="Bookman Old Style" w:hAnsi="Bookman Old Style"/>
        </w:rPr>
        <w:t xml:space="preserve">entre </w:t>
      </w:r>
      <w:r>
        <w:rPr>
          <w:rFonts w:ascii="Bookman Old Style" w:hAnsi="Bookman Old Style"/>
        </w:rPr>
        <w:t xml:space="preserve">educación </w:t>
      </w:r>
      <w:r w:rsidR="00E54872">
        <w:rPr>
          <w:rFonts w:ascii="Bookman Old Style" w:hAnsi="Bookman Old Style"/>
        </w:rPr>
        <w:t>y calificación</w:t>
      </w:r>
      <w:r>
        <w:rPr>
          <w:rFonts w:ascii="Bookman Old Style" w:hAnsi="Bookman Old Style"/>
        </w:rPr>
        <w:t xml:space="preserve"> se obtiene a partir del cociente entre el nivel de educación y la calificación requerida por </w:t>
      </w:r>
      <w:r w:rsidR="00460F0C">
        <w:rPr>
          <w:rFonts w:ascii="Bookman Old Style" w:hAnsi="Bookman Old Style"/>
        </w:rPr>
        <w:t>la actividad laboral.</w:t>
      </w:r>
      <w:r w:rsidR="00E54872">
        <w:rPr>
          <w:rFonts w:ascii="Bookman Old Style" w:hAnsi="Bookman Old Style"/>
        </w:rPr>
        <w:t xml:space="preserve"> Luego, la estandarización se realiza del mismo modo que con </w:t>
      </w:r>
      <w:r w:rsidR="006E36D0">
        <w:rPr>
          <w:rFonts w:ascii="Bookman Old Style" w:hAnsi="Bookman Old Style"/>
        </w:rPr>
        <w:t>el indicador anterior</w:t>
      </w:r>
      <w:r w:rsidR="00E54872">
        <w:rPr>
          <w:rFonts w:ascii="Bookman Old Style" w:hAnsi="Bookman Old Style"/>
        </w:rPr>
        <w:t>, pero invirtiendo el signo, de modo que los valores más altos correspondan a la menor inconsistencia. Así, este indicador resulta escalado en la misma dirección que el anterior: más puntaje equivale a mayor calidad.</w:t>
      </w:r>
    </w:p>
    <w:p w:rsidR="006E36D0" w:rsidRDefault="006E36D0" w:rsidP="00690D84">
      <w:pPr>
        <w:spacing w:after="0"/>
        <w:jc w:val="both"/>
        <w:rPr>
          <w:rFonts w:ascii="Bookman Old Style" w:hAnsi="Bookman Old Style"/>
        </w:rPr>
      </w:pPr>
    </w:p>
    <w:p w:rsidR="006C404D" w:rsidRPr="006E36D0" w:rsidRDefault="00357521" w:rsidP="00690D84">
      <w:pPr>
        <w:spacing w:after="0"/>
        <w:jc w:val="both"/>
        <w:rPr>
          <w:rFonts w:ascii="Bookman Old Style" w:hAnsi="Bookman Old Style"/>
          <w:b/>
        </w:rPr>
      </w:pPr>
      <w:r w:rsidRPr="006E36D0">
        <w:rPr>
          <w:rFonts w:ascii="Bookman Old Style" w:hAnsi="Bookman Old Style"/>
          <w:b/>
        </w:rPr>
        <w:t>Ingresos –hora</w:t>
      </w:r>
    </w:p>
    <w:p w:rsidR="00357521" w:rsidRDefault="00357521" w:rsidP="00690D84">
      <w:pPr>
        <w:spacing w:after="0"/>
        <w:jc w:val="both"/>
        <w:rPr>
          <w:rFonts w:ascii="Bookman Old Style" w:hAnsi="Bookman Old Style"/>
        </w:rPr>
      </w:pPr>
      <w:r>
        <w:rPr>
          <w:rFonts w:ascii="Bookman Old Style" w:hAnsi="Bookman Old Style"/>
        </w:rPr>
        <w:t xml:space="preserve">Si bien los ingresos relevados por medio de encuestas tienen problemas de confiabilidad, resulta ineludible incluirlos en una medida de calidad de inserción laboral, porque constituyen la expresión material de la transacción que el trabajador hace de su tiempo por dinero. A fin de tener una medida comparable entre personas que dedican diferente tiempo a sus trabajos, se toma el cociente entre los ingresos </w:t>
      </w:r>
      <w:r w:rsidR="002F2F42">
        <w:rPr>
          <w:rFonts w:ascii="Bookman Old Style" w:hAnsi="Bookman Old Style"/>
        </w:rPr>
        <w:t xml:space="preserve">laborales </w:t>
      </w:r>
      <w:r>
        <w:rPr>
          <w:rFonts w:ascii="Bookman Old Style" w:hAnsi="Bookman Old Style"/>
        </w:rPr>
        <w:t xml:space="preserve">del último mes </w:t>
      </w:r>
      <w:r w:rsidR="002F2F42">
        <w:rPr>
          <w:rFonts w:ascii="Bookman Old Style" w:hAnsi="Bookman Old Style"/>
        </w:rPr>
        <w:t>y la cantidad de horas trabajadas en la semana anterior a la encuesta. Ese cociente mide un ingreso-hora-semanal</w:t>
      </w:r>
      <w:r w:rsidR="00033C02">
        <w:rPr>
          <w:rFonts w:ascii="Bookman Old Style" w:hAnsi="Bookman Old Style"/>
        </w:rPr>
        <w:t>, adecuado para establecer comparaciones en las retribuciones que reciben las personas que trabajan</w:t>
      </w:r>
      <w:r w:rsidR="002F2F42">
        <w:rPr>
          <w:rFonts w:ascii="Bookman Old Style" w:hAnsi="Bookman Old Style"/>
        </w:rPr>
        <w:t>.</w:t>
      </w:r>
    </w:p>
    <w:p w:rsidR="005004E7" w:rsidRDefault="00B51334" w:rsidP="00690D84">
      <w:pPr>
        <w:spacing w:after="0"/>
        <w:jc w:val="both"/>
        <w:rPr>
          <w:rFonts w:ascii="Bookman Old Style" w:hAnsi="Bookman Old Style"/>
        </w:rPr>
      </w:pPr>
      <w:r>
        <w:rPr>
          <w:rFonts w:ascii="Bookman Old Style" w:hAnsi="Bookman Old Style"/>
        </w:rPr>
        <w:t>Sin embargo, los ingresos hora tienen un valor diferente según los niveles de costo de vi</w:t>
      </w:r>
      <w:r w:rsidR="006E36D0">
        <w:rPr>
          <w:rFonts w:ascii="Bookman Old Style" w:hAnsi="Bookman Old Style"/>
        </w:rPr>
        <w:t>da entre las regiones del país; el mismo monto bruto de ingreso permite acceder a diferente cantidad de bienes y servicios. A</w:t>
      </w:r>
      <w:r>
        <w:rPr>
          <w:rFonts w:ascii="Bookman Old Style" w:hAnsi="Bookman Old Style"/>
        </w:rPr>
        <w:t xml:space="preserve"> fin de tener en cuenta estas diferencias, el valor de ingreso hora de cada persona se transforma a puntaje </w:t>
      </w:r>
      <w:r w:rsidRPr="00B51334">
        <w:rPr>
          <w:rFonts w:ascii="Bookman Old Style" w:hAnsi="Bookman Old Style"/>
          <w:i/>
        </w:rPr>
        <w:t>z</w:t>
      </w:r>
      <w:r>
        <w:rPr>
          <w:rFonts w:ascii="Bookman Old Style" w:hAnsi="Bookman Old Style"/>
        </w:rPr>
        <w:t xml:space="preserve"> en relación a la media y desviación estándar de los ingresos de cada región. Así transformados, esos puntajes indican a cuántas desviaciones estándar por encima o por debajo de la media de ingresos</w:t>
      </w:r>
      <w:r w:rsidR="006E36D0">
        <w:rPr>
          <w:rFonts w:ascii="Bookman Old Style" w:hAnsi="Bookman Old Style"/>
        </w:rPr>
        <w:t>-hora-semanal</w:t>
      </w:r>
      <w:r>
        <w:rPr>
          <w:rFonts w:ascii="Bookman Old Style" w:hAnsi="Bookman Old Style"/>
        </w:rPr>
        <w:t xml:space="preserve"> de la región, se encuentra el  </w:t>
      </w:r>
      <w:r w:rsidR="006E36D0">
        <w:rPr>
          <w:rFonts w:ascii="Bookman Old Style" w:hAnsi="Bookman Old Style"/>
        </w:rPr>
        <w:t>valor</w:t>
      </w:r>
      <w:r>
        <w:rPr>
          <w:rFonts w:ascii="Bookman Old Style" w:hAnsi="Bookman Old Style"/>
        </w:rPr>
        <w:t xml:space="preserve"> </w:t>
      </w:r>
      <w:r w:rsidR="006E36D0">
        <w:rPr>
          <w:rFonts w:ascii="Bookman Old Style" w:hAnsi="Bookman Old Style"/>
        </w:rPr>
        <w:t xml:space="preserve">que </w:t>
      </w:r>
      <w:r>
        <w:rPr>
          <w:rFonts w:ascii="Bookman Old Style" w:hAnsi="Bookman Old Style"/>
        </w:rPr>
        <w:t>cada persona</w:t>
      </w:r>
      <w:r w:rsidR="006E36D0">
        <w:rPr>
          <w:rFonts w:ascii="Bookman Old Style" w:hAnsi="Bookman Old Style"/>
        </w:rPr>
        <w:t xml:space="preserve"> declara</w:t>
      </w:r>
      <w:r>
        <w:rPr>
          <w:rFonts w:ascii="Bookman Old Style" w:hAnsi="Bookman Old Style"/>
        </w:rPr>
        <w:t>. Esta medida es más realista y adecuada para poner en juego al ingreso como indicador de la calidad de la inserción laboral.</w:t>
      </w:r>
      <w:r w:rsidR="00160D74">
        <w:rPr>
          <w:rFonts w:ascii="Bookman Old Style" w:hAnsi="Bookman Old Style"/>
        </w:rPr>
        <w:t xml:space="preserve"> Los puntajes </w:t>
      </w:r>
      <w:r w:rsidR="00160D74" w:rsidRPr="008B51A2">
        <w:rPr>
          <w:rFonts w:ascii="Bookman Old Style" w:hAnsi="Bookman Old Style"/>
          <w:i/>
        </w:rPr>
        <w:t>z</w:t>
      </w:r>
      <w:r w:rsidR="00160D74">
        <w:rPr>
          <w:rFonts w:ascii="Bookman Old Style" w:hAnsi="Bookman Old Style"/>
        </w:rPr>
        <w:t xml:space="preserve"> así generados se </w:t>
      </w:r>
      <w:proofErr w:type="spellStart"/>
      <w:r w:rsidR="00160D74">
        <w:rPr>
          <w:rFonts w:ascii="Bookman Old Style" w:hAnsi="Bookman Old Style"/>
        </w:rPr>
        <w:t>reescalan</w:t>
      </w:r>
      <w:proofErr w:type="spellEnd"/>
      <w:r w:rsidR="00160D74">
        <w:rPr>
          <w:rFonts w:ascii="Bookman Old Style" w:hAnsi="Bookman Old Style"/>
        </w:rPr>
        <w:t xml:space="preserve"> al intervalo 0 – 100 para asegurar la comparabilidad con los demás indicadores.</w:t>
      </w:r>
    </w:p>
    <w:p w:rsidR="00160D74" w:rsidRDefault="00160D74" w:rsidP="00690D84">
      <w:pPr>
        <w:spacing w:after="0"/>
        <w:jc w:val="both"/>
        <w:rPr>
          <w:rFonts w:ascii="Bookman Old Style" w:hAnsi="Bookman Old Style"/>
        </w:rPr>
      </w:pPr>
    </w:p>
    <w:p w:rsidR="008B51A2" w:rsidRPr="008B51A2" w:rsidRDefault="008B51A2" w:rsidP="00690D84">
      <w:pPr>
        <w:spacing w:after="0"/>
        <w:jc w:val="both"/>
        <w:rPr>
          <w:rFonts w:ascii="Bookman Old Style" w:hAnsi="Bookman Old Style"/>
          <w:b/>
        </w:rPr>
      </w:pPr>
      <w:r w:rsidRPr="008B51A2">
        <w:rPr>
          <w:rFonts w:ascii="Bookman Old Style" w:hAnsi="Bookman Old Style"/>
          <w:b/>
        </w:rPr>
        <w:t>Autonomía</w:t>
      </w:r>
    </w:p>
    <w:p w:rsidR="00256C36" w:rsidRDefault="005004E7" w:rsidP="00690D84">
      <w:pPr>
        <w:spacing w:after="0"/>
        <w:jc w:val="both"/>
        <w:rPr>
          <w:rFonts w:ascii="Bookman Old Style" w:hAnsi="Bookman Old Style"/>
        </w:rPr>
      </w:pPr>
      <w:r>
        <w:rPr>
          <w:rFonts w:ascii="Bookman Old Style" w:hAnsi="Bookman Old Style"/>
        </w:rPr>
        <w:t>Finalmente, y esta es la razón por la que se elige en esta etapa la ECETSS, se agrega una componente que no está medida en la EPH, a fin de comparar cómo una componente</w:t>
      </w:r>
      <w:r w:rsidR="008B51A2">
        <w:rPr>
          <w:rFonts w:ascii="Bookman Old Style" w:hAnsi="Bookman Old Style"/>
        </w:rPr>
        <w:t>, que ofrece más detalles sobre la calidad de la actividad laboral</w:t>
      </w:r>
      <w:r>
        <w:rPr>
          <w:rFonts w:ascii="Bookman Old Style" w:hAnsi="Bookman Old Style"/>
        </w:rPr>
        <w:t xml:space="preserve"> puede aportar a mejorar la </w:t>
      </w:r>
      <w:r w:rsidR="008B51A2">
        <w:rPr>
          <w:rFonts w:ascii="Bookman Old Style" w:hAnsi="Bookman Old Style"/>
        </w:rPr>
        <w:t>precisión</w:t>
      </w:r>
      <w:r>
        <w:rPr>
          <w:rFonts w:ascii="Bookman Old Style" w:hAnsi="Bookman Old Style"/>
        </w:rPr>
        <w:t xml:space="preserve"> del índice.</w:t>
      </w:r>
      <w:r w:rsidR="00256C36">
        <w:rPr>
          <w:rFonts w:ascii="Bookman Old Style" w:hAnsi="Bookman Old Style"/>
        </w:rPr>
        <w:t xml:space="preserve"> Se elige un conjunto de ítems que tratan sobre la autonomía con que cuenta el trabajador, son las preguntas </w:t>
      </w:r>
      <w:proofErr w:type="spellStart"/>
      <w:r w:rsidR="00256C36" w:rsidRPr="00256C36">
        <w:rPr>
          <w:rFonts w:ascii="Bookman Old Style" w:hAnsi="Bookman Old Style"/>
        </w:rPr>
        <w:t>aut_org</w:t>
      </w:r>
      <w:proofErr w:type="spellEnd"/>
      <w:r w:rsidR="00256C36">
        <w:rPr>
          <w:rFonts w:ascii="Bookman Old Style" w:hAnsi="Bookman Old Style"/>
        </w:rPr>
        <w:t xml:space="preserve">, </w:t>
      </w:r>
      <w:proofErr w:type="spellStart"/>
      <w:r w:rsidR="00256C36" w:rsidRPr="00256C36">
        <w:rPr>
          <w:rFonts w:ascii="Bookman Old Style" w:hAnsi="Bookman Old Style"/>
        </w:rPr>
        <w:t>aut_metod</w:t>
      </w:r>
      <w:proofErr w:type="spellEnd"/>
      <w:r w:rsidR="00256C36">
        <w:rPr>
          <w:rFonts w:ascii="Bookman Old Style" w:hAnsi="Bookman Old Style"/>
        </w:rPr>
        <w:t xml:space="preserve">, </w:t>
      </w:r>
      <w:proofErr w:type="spellStart"/>
      <w:r w:rsidR="00256C36" w:rsidRPr="00256C36">
        <w:rPr>
          <w:rFonts w:ascii="Bookman Old Style" w:hAnsi="Bookman Old Style"/>
        </w:rPr>
        <w:t>aut_ritmo</w:t>
      </w:r>
      <w:proofErr w:type="spellEnd"/>
      <w:r w:rsidR="00256C36">
        <w:rPr>
          <w:rFonts w:ascii="Bookman Old Style" w:hAnsi="Bookman Old Style"/>
        </w:rPr>
        <w:t xml:space="preserve">, </w:t>
      </w:r>
      <w:proofErr w:type="spellStart"/>
      <w:r w:rsidR="00256C36" w:rsidRPr="00256C36">
        <w:rPr>
          <w:rFonts w:ascii="Bookman Old Style" w:hAnsi="Bookman Old Style"/>
        </w:rPr>
        <w:t>aut_pausas</w:t>
      </w:r>
      <w:proofErr w:type="spellEnd"/>
      <w:r w:rsidR="00750B20">
        <w:rPr>
          <w:rFonts w:ascii="Bookman Old Style" w:hAnsi="Bookman Old Style"/>
        </w:rPr>
        <w:t xml:space="preserve">, </w:t>
      </w:r>
      <w:proofErr w:type="spellStart"/>
      <w:r w:rsidR="00256C36" w:rsidRPr="00256C36">
        <w:rPr>
          <w:rFonts w:ascii="Bookman Old Style" w:hAnsi="Bookman Old Style"/>
        </w:rPr>
        <w:t>aut_cantt</w:t>
      </w:r>
      <w:proofErr w:type="spellEnd"/>
      <w:r w:rsidR="00750B20">
        <w:rPr>
          <w:rFonts w:ascii="Bookman Old Style" w:hAnsi="Bookman Old Style"/>
        </w:rPr>
        <w:t xml:space="preserve"> redactadas como:</w:t>
      </w:r>
      <w:r w:rsidR="00256C36" w:rsidRPr="00256C36">
        <w:rPr>
          <w:rFonts w:ascii="Bookman Old Style" w:hAnsi="Bookman Old Style"/>
        </w:rPr>
        <w:t xml:space="preserve"> </w:t>
      </w:r>
    </w:p>
    <w:p w:rsidR="00256C36" w:rsidRDefault="00256C36" w:rsidP="00690D84">
      <w:pPr>
        <w:spacing w:after="0"/>
        <w:jc w:val="both"/>
        <w:rPr>
          <w:rFonts w:ascii="Bookman Old Style" w:hAnsi="Bookman Old Style"/>
        </w:rPr>
      </w:pPr>
      <w:proofErr w:type="gramStart"/>
      <w:r w:rsidRPr="00256C36">
        <w:rPr>
          <w:rFonts w:ascii="Bookman Old Style" w:hAnsi="Bookman Old Style"/>
        </w:rPr>
        <w:t>¿</w:t>
      </w:r>
      <w:proofErr w:type="gramEnd"/>
      <w:r w:rsidRPr="00256C36">
        <w:rPr>
          <w:rFonts w:ascii="Bookman Old Style" w:hAnsi="Bookman Old Style"/>
        </w:rPr>
        <w:t>Con qué frecuencia cuenta u</w:t>
      </w:r>
      <w:r>
        <w:rPr>
          <w:rFonts w:ascii="Bookman Old Style" w:hAnsi="Bookman Old Style"/>
        </w:rPr>
        <w:t>sted</w:t>
      </w:r>
      <w:r w:rsidRPr="00256C36">
        <w:rPr>
          <w:rFonts w:ascii="Bookman Old Style" w:hAnsi="Bookman Old Style"/>
        </w:rPr>
        <w:t xml:space="preserve"> con autonomía par</w:t>
      </w:r>
      <w:r>
        <w:rPr>
          <w:rFonts w:ascii="Bookman Old Style" w:hAnsi="Bookman Old Style"/>
        </w:rPr>
        <w:t>a organizar y/o planificar:</w:t>
      </w:r>
    </w:p>
    <w:p w:rsidR="00256C36" w:rsidRPr="006E36D0" w:rsidRDefault="00256C36" w:rsidP="00690D84">
      <w:pPr>
        <w:pStyle w:val="Prrafodelista"/>
        <w:numPr>
          <w:ilvl w:val="0"/>
          <w:numId w:val="1"/>
        </w:numPr>
        <w:spacing w:after="0"/>
        <w:jc w:val="both"/>
        <w:rPr>
          <w:rFonts w:ascii="Bookman Old Style" w:hAnsi="Bookman Old Style"/>
        </w:rPr>
      </w:pPr>
      <w:r w:rsidRPr="006E36D0">
        <w:rPr>
          <w:rFonts w:ascii="Bookman Old Style" w:hAnsi="Bookman Old Style"/>
        </w:rPr>
        <w:t>el orden de sus tareas</w:t>
      </w:r>
      <w:proofErr w:type="gramStart"/>
      <w:r w:rsidRPr="006E36D0">
        <w:rPr>
          <w:rFonts w:ascii="Bookman Old Style" w:hAnsi="Bookman Old Style"/>
        </w:rPr>
        <w:t>?</w:t>
      </w:r>
      <w:proofErr w:type="gramEnd"/>
    </w:p>
    <w:p w:rsidR="00256C36" w:rsidRPr="006E36D0" w:rsidRDefault="00256C36" w:rsidP="00690D84">
      <w:pPr>
        <w:pStyle w:val="Prrafodelista"/>
        <w:numPr>
          <w:ilvl w:val="0"/>
          <w:numId w:val="1"/>
        </w:numPr>
        <w:spacing w:after="0"/>
        <w:jc w:val="both"/>
        <w:rPr>
          <w:rFonts w:ascii="Bookman Old Style" w:hAnsi="Bookman Old Style"/>
        </w:rPr>
      </w:pPr>
      <w:r w:rsidRPr="006E36D0">
        <w:rPr>
          <w:rFonts w:ascii="Bookman Old Style" w:hAnsi="Bookman Old Style"/>
        </w:rPr>
        <w:lastRenderedPageBreak/>
        <w:t>el método de trabajo</w:t>
      </w:r>
      <w:proofErr w:type="gramStart"/>
      <w:r w:rsidRPr="006E36D0">
        <w:rPr>
          <w:rFonts w:ascii="Bookman Old Style" w:hAnsi="Bookman Old Style"/>
        </w:rPr>
        <w:t>?</w:t>
      </w:r>
      <w:proofErr w:type="gramEnd"/>
    </w:p>
    <w:p w:rsidR="00256C36" w:rsidRPr="006E36D0" w:rsidRDefault="00256C36" w:rsidP="00690D84">
      <w:pPr>
        <w:pStyle w:val="Prrafodelista"/>
        <w:numPr>
          <w:ilvl w:val="0"/>
          <w:numId w:val="1"/>
        </w:numPr>
        <w:spacing w:after="0"/>
        <w:jc w:val="both"/>
        <w:rPr>
          <w:rFonts w:ascii="Bookman Old Style" w:hAnsi="Bookman Old Style"/>
        </w:rPr>
      </w:pPr>
      <w:r w:rsidRPr="006E36D0">
        <w:rPr>
          <w:rFonts w:ascii="Bookman Old Style" w:hAnsi="Bookman Old Style"/>
        </w:rPr>
        <w:t>el ritmo de su trabajo</w:t>
      </w:r>
      <w:proofErr w:type="gramStart"/>
      <w:r w:rsidRPr="006E36D0">
        <w:rPr>
          <w:rFonts w:ascii="Bookman Old Style" w:hAnsi="Bookman Old Style"/>
        </w:rPr>
        <w:t>?</w:t>
      </w:r>
      <w:proofErr w:type="gramEnd"/>
    </w:p>
    <w:p w:rsidR="00256C36" w:rsidRPr="006E36D0" w:rsidRDefault="00256C36" w:rsidP="00690D84">
      <w:pPr>
        <w:pStyle w:val="Prrafodelista"/>
        <w:numPr>
          <w:ilvl w:val="0"/>
          <w:numId w:val="1"/>
        </w:numPr>
        <w:spacing w:after="0"/>
        <w:jc w:val="both"/>
        <w:rPr>
          <w:rFonts w:ascii="Bookman Old Style" w:hAnsi="Bookman Old Style"/>
        </w:rPr>
      </w:pPr>
      <w:r w:rsidRPr="006E36D0">
        <w:rPr>
          <w:rFonts w:ascii="Bookman Old Style" w:hAnsi="Bookman Old Style"/>
        </w:rPr>
        <w:t>la duración de las pausas</w:t>
      </w:r>
      <w:proofErr w:type="gramStart"/>
      <w:r w:rsidRPr="006E36D0">
        <w:rPr>
          <w:rFonts w:ascii="Bookman Old Style" w:hAnsi="Bookman Old Style"/>
        </w:rPr>
        <w:t>?</w:t>
      </w:r>
      <w:proofErr w:type="gramEnd"/>
    </w:p>
    <w:p w:rsidR="00256C36" w:rsidRPr="006E36D0" w:rsidRDefault="00256C36" w:rsidP="00690D84">
      <w:pPr>
        <w:pStyle w:val="Prrafodelista"/>
        <w:numPr>
          <w:ilvl w:val="0"/>
          <w:numId w:val="1"/>
        </w:numPr>
        <w:spacing w:after="0"/>
        <w:jc w:val="both"/>
        <w:rPr>
          <w:rFonts w:ascii="Bookman Old Style" w:hAnsi="Bookman Old Style"/>
        </w:rPr>
      </w:pPr>
      <w:r w:rsidRPr="006E36D0">
        <w:rPr>
          <w:rFonts w:ascii="Bookman Old Style" w:hAnsi="Bookman Old Style"/>
        </w:rPr>
        <w:t>la cantidad de trabajo que le dan</w:t>
      </w:r>
      <w:proofErr w:type="gramStart"/>
      <w:r w:rsidRPr="006E36D0">
        <w:rPr>
          <w:rFonts w:ascii="Bookman Old Style" w:hAnsi="Bookman Old Style"/>
        </w:rPr>
        <w:t>?</w:t>
      </w:r>
      <w:proofErr w:type="gramEnd"/>
    </w:p>
    <w:p w:rsidR="005004E7" w:rsidRDefault="00750B20" w:rsidP="00690D84">
      <w:pPr>
        <w:spacing w:after="0"/>
        <w:jc w:val="both"/>
        <w:rPr>
          <w:rFonts w:ascii="Bookman Old Style" w:hAnsi="Bookman Old Style"/>
        </w:rPr>
      </w:pPr>
      <w:r>
        <w:rPr>
          <w:rFonts w:ascii="Bookman Old Style" w:hAnsi="Bookman Old Style"/>
        </w:rPr>
        <w:t xml:space="preserve">Con categorías: </w:t>
      </w:r>
      <w:r w:rsidRPr="00750B20">
        <w:rPr>
          <w:rFonts w:ascii="Bookman Old Style" w:hAnsi="Bookman Old Style"/>
        </w:rPr>
        <w:t>Siempre</w:t>
      </w:r>
      <w:r>
        <w:rPr>
          <w:rFonts w:ascii="Bookman Old Style" w:hAnsi="Bookman Old Style"/>
        </w:rPr>
        <w:t xml:space="preserve">, </w:t>
      </w:r>
      <w:r w:rsidRPr="00750B20">
        <w:rPr>
          <w:rFonts w:ascii="Bookman Old Style" w:hAnsi="Bookman Old Style"/>
        </w:rPr>
        <w:t>Muchas veces</w:t>
      </w:r>
      <w:r>
        <w:rPr>
          <w:rFonts w:ascii="Bookman Old Style" w:hAnsi="Bookman Old Style"/>
        </w:rPr>
        <w:t xml:space="preserve">, </w:t>
      </w:r>
      <w:r w:rsidRPr="00750B20">
        <w:rPr>
          <w:rFonts w:ascii="Bookman Old Style" w:hAnsi="Bookman Old Style"/>
        </w:rPr>
        <w:t>Algunas veces</w:t>
      </w:r>
      <w:r>
        <w:rPr>
          <w:rFonts w:ascii="Bookman Old Style" w:hAnsi="Bookman Old Style"/>
        </w:rPr>
        <w:t xml:space="preserve">, </w:t>
      </w:r>
      <w:r w:rsidRPr="00750B20">
        <w:rPr>
          <w:rFonts w:ascii="Bookman Old Style" w:hAnsi="Bookman Old Style"/>
        </w:rPr>
        <w:t>Solo alguna vez</w:t>
      </w:r>
      <w:r>
        <w:rPr>
          <w:rFonts w:ascii="Bookman Old Style" w:hAnsi="Bookman Old Style"/>
        </w:rPr>
        <w:t xml:space="preserve">, </w:t>
      </w:r>
      <w:r w:rsidRPr="00750B20">
        <w:rPr>
          <w:rFonts w:ascii="Bookman Old Style" w:hAnsi="Bookman Old Style"/>
        </w:rPr>
        <w:t>Nunca</w:t>
      </w:r>
    </w:p>
    <w:p w:rsidR="00750B20" w:rsidRDefault="00F23F3D" w:rsidP="00690D84">
      <w:pPr>
        <w:spacing w:after="0"/>
        <w:jc w:val="both"/>
        <w:rPr>
          <w:rFonts w:ascii="Bookman Old Style" w:hAnsi="Bookman Old Style"/>
        </w:rPr>
      </w:pPr>
      <w:r>
        <w:rPr>
          <w:rFonts w:ascii="Bookman Old Style" w:hAnsi="Bookman Old Style"/>
        </w:rPr>
        <w:t>Las respuestas a estas preguntas se combinan de manera aditiva y el resultado se escala al intervalo 0 – 100.</w:t>
      </w:r>
    </w:p>
    <w:p w:rsidR="00F23F3D" w:rsidRDefault="00F23F3D" w:rsidP="00690D84">
      <w:pPr>
        <w:spacing w:after="0"/>
        <w:jc w:val="both"/>
        <w:rPr>
          <w:rFonts w:ascii="Bookman Old Style" w:hAnsi="Bookman Old Style"/>
        </w:rPr>
      </w:pPr>
    </w:p>
    <w:p w:rsidR="00F23F3D" w:rsidRDefault="004C3FDD" w:rsidP="00690D84">
      <w:pPr>
        <w:spacing w:after="0"/>
        <w:jc w:val="both"/>
        <w:rPr>
          <w:rFonts w:ascii="Bookman Old Style" w:hAnsi="Bookman Old Style"/>
        </w:rPr>
      </w:pPr>
      <w:r>
        <w:rPr>
          <w:rFonts w:ascii="Bookman Old Style" w:hAnsi="Bookman Old Style"/>
        </w:rPr>
        <w:t>Se cue</w:t>
      </w:r>
      <w:r w:rsidR="00F23F3D">
        <w:rPr>
          <w:rFonts w:ascii="Bookman Old Style" w:hAnsi="Bookman Old Style"/>
        </w:rPr>
        <w:t xml:space="preserve">nta así con cuatro indicadores, representativos de cuatro dimensiones de la inserción laboral: la seguridad personal y familiar que caracteriza a la actividad laboral, la relación entre la formación educativa del trabajador y la exigencia que demanda su labor, sus ingresos hora relativos a la región geográfica donde </w:t>
      </w:r>
      <w:r w:rsidR="006E36D0">
        <w:rPr>
          <w:rFonts w:ascii="Bookman Old Style" w:hAnsi="Bookman Old Style"/>
        </w:rPr>
        <w:t>reside</w:t>
      </w:r>
      <w:r w:rsidR="006B7B36">
        <w:rPr>
          <w:rFonts w:ascii="Bookman Old Style" w:hAnsi="Bookman Old Style"/>
        </w:rPr>
        <w:t>,</w:t>
      </w:r>
      <w:r w:rsidR="00F23F3D">
        <w:rPr>
          <w:rFonts w:ascii="Bookman Old Style" w:hAnsi="Bookman Old Style"/>
        </w:rPr>
        <w:t xml:space="preserve"> y la autonomía </w:t>
      </w:r>
      <w:r w:rsidR="006B7B36">
        <w:rPr>
          <w:rFonts w:ascii="Bookman Old Style" w:hAnsi="Bookman Old Style"/>
        </w:rPr>
        <w:t xml:space="preserve">de que puede disponer para </w:t>
      </w:r>
      <w:r w:rsidR="00F23F3D">
        <w:rPr>
          <w:rFonts w:ascii="Bookman Old Style" w:hAnsi="Bookman Old Style"/>
        </w:rPr>
        <w:t>la planificación y ejecución de sus tareas. Con ellos se construyen dos índices, el primero combinando de manera aditiva las tres primera componentes y el segundo incorporando la cuarta. De este modo, el primer índice</w:t>
      </w:r>
      <w:r w:rsidR="006B7B36">
        <w:rPr>
          <w:rFonts w:ascii="Bookman Old Style" w:hAnsi="Bookman Old Style"/>
        </w:rPr>
        <w:t xml:space="preserve"> puede calcularse con datos de la EPH y el segundo </w:t>
      </w:r>
      <w:r>
        <w:rPr>
          <w:rFonts w:ascii="Bookman Old Style" w:hAnsi="Bookman Old Style"/>
        </w:rPr>
        <w:t>requiere de las preguntas adicionales de la ECETSS.</w:t>
      </w:r>
    </w:p>
    <w:p w:rsidR="004C3FDD" w:rsidRDefault="004C3FDD" w:rsidP="00690D84">
      <w:pPr>
        <w:spacing w:after="0"/>
        <w:jc w:val="both"/>
        <w:rPr>
          <w:rFonts w:ascii="Bookman Old Style" w:hAnsi="Bookman Old Style"/>
        </w:rPr>
      </w:pPr>
    </w:p>
    <w:p w:rsidR="004C3FDD" w:rsidRPr="004C3FDD" w:rsidRDefault="004C3FDD" w:rsidP="00690D84">
      <w:pPr>
        <w:spacing w:after="0"/>
        <w:jc w:val="both"/>
        <w:rPr>
          <w:rFonts w:ascii="Bookman Old Style" w:hAnsi="Bookman Old Style"/>
          <w:sz w:val="26"/>
          <w:szCs w:val="26"/>
        </w:rPr>
      </w:pPr>
      <w:r w:rsidRPr="004C3FDD">
        <w:rPr>
          <w:rFonts w:ascii="Bookman Old Style" w:hAnsi="Bookman Old Style"/>
          <w:sz w:val="26"/>
          <w:szCs w:val="26"/>
        </w:rPr>
        <w:t>Comparación de los dos índices</w:t>
      </w:r>
    </w:p>
    <w:p w:rsidR="004C3FDD" w:rsidRDefault="004C3FDD" w:rsidP="00690D84">
      <w:pPr>
        <w:spacing w:after="0"/>
        <w:jc w:val="both"/>
        <w:rPr>
          <w:rFonts w:ascii="Bookman Old Style" w:hAnsi="Bookman Old Style"/>
        </w:rPr>
      </w:pPr>
      <w:r>
        <w:rPr>
          <w:rFonts w:ascii="Bookman Old Style" w:hAnsi="Bookman Old Style"/>
        </w:rPr>
        <w:t>Se analiza la correlación entre los dos índices y de cada uno de ellos con las componentes y se obtiene la siguiente matriz de correlaciones</w:t>
      </w:r>
      <w:r w:rsidR="00B07BF9">
        <w:rPr>
          <w:rFonts w:ascii="Bookman Old Style" w:hAnsi="Bookman Old Style"/>
        </w:rPr>
        <w:t xml:space="preserve"> para los coeficientes de </w:t>
      </w:r>
      <w:proofErr w:type="spellStart"/>
      <w:r w:rsidR="00B07BF9">
        <w:rPr>
          <w:rFonts w:ascii="Bookman Old Style" w:hAnsi="Bookman Old Style"/>
        </w:rPr>
        <w:t>Spearman</w:t>
      </w:r>
      <w:proofErr w:type="spellEnd"/>
      <w:r w:rsidR="00B07BF9">
        <w:rPr>
          <w:rFonts w:ascii="Bookman Old Style" w:hAnsi="Bookman Old Style"/>
        </w:rPr>
        <w:t>:</w:t>
      </w:r>
    </w:p>
    <w:p w:rsidR="004C3FDD" w:rsidRDefault="004C3FDD" w:rsidP="00F23F3D">
      <w:pPr>
        <w:spacing w:after="0"/>
        <w:rPr>
          <w:rFonts w:ascii="Bookman Old Style" w:hAnsi="Bookman Old Style"/>
        </w:rPr>
      </w:pPr>
    </w:p>
    <w:tbl>
      <w:tblPr>
        <w:tblW w:w="8213" w:type="dxa"/>
        <w:tblInd w:w="55" w:type="dxa"/>
        <w:tblCellMar>
          <w:left w:w="70" w:type="dxa"/>
          <w:right w:w="70" w:type="dxa"/>
        </w:tblCellMar>
        <w:tblLook w:val="04A0" w:firstRow="1" w:lastRow="0" w:firstColumn="1" w:lastColumn="0" w:noHBand="0" w:noVBand="1"/>
      </w:tblPr>
      <w:tblGrid>
        <w:gridCol w:w="1437"/>
        <w:gridCol w:w="1472"/>
        <w:gridCol w:w="1228"/>
        <w:gridCol w:w="1253"/>
        <w:gridCol w:w="1329"/>
        <w:gridCol w:w="713"/>
        <w:gridCol w:w="781"/>
      </w:tblGrid>
      <w:tr w:rsidR="005F5745" w:rsidRPr="005F5745" w:rsidTr="005F5745">
        <w:trPr>
          <w:trHeight w:val="510"/>
        </w:trPr>
        <w:tc>
          <w:tcPr>
            <w:tcW w:w="1437" w:type="dxa"/>
            <w:tcBorders>
              <w:bottom w:val="single" w:sz="4" w:space="0" w:color="auto"/>
            </w:tcBorders>
            <w:shd w:val="clear" w:color="auto" w:fill="auto"/>
            <w:noWrap/>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472"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r.consistencia</w:t>
            </w:r>
            <w:proofErr w:type="spellEnd"/>
          </w:p>
        </w:tc>
        <w:tc>
          <w:tcPr>
            <w:tcW w:w="1228"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r.ingr_hora</w:t>
            </w:r>
            <w:proofErr w:type="spellEnd"/>
          </w:p>
        </w:tc>
        <w:tc>
          <w:tcPr>
            <w:tcW w:w="1253"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r.seguridad</w:t>
            </w:r>
            <w:proofErr w:type="spellEnd"/>
          </w:p>
        </w:tc>
        <w:tc>
          <w:tcPr>
            <w:tcW w:w="1329"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r.autonomia</w:t>
            </w:r>
            <w:proofErr w:type="spellEnd"/>
          </w:p>
        </w:tc>
        <w:tc>
          <w:tcPr>
            <w:tcW w:w="713"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r.IC</w:t>
            </w:r>
            <w:proofErr w:type="spellEnd"/>
          </w:p>
        </w:tc>
        <w:tc>
          <w:tcPr>
            <w:tcW w:w="781"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r.IC_2</w:t>
            </w:r>
          </w:p>
        </w:tc>
      </w:tr>
      <w:tr w:rsidR="005F5745" w:rsidRPr="005F5745" w:rsidTr="005F5745">
        <w:trPr>
          <w:trHeight w:val="765"/>
        </w:trPr>
        <w:tc>
          <w:tcPr>
            <w:tcW w:w="1437" w:type="dxa"/>
            <w:tcBorders>
              <w:top w:val="single" w:sz="4" w:space="0" w:color="auto"/>
            </w:tcBorders>
            <w:shd w:val="clear" w:color="auto" w:fill="auto"/>
            <w:vAlign w:val="center"/>
            <w:hideMark/>
          </w:tcPr>
          <w:p w:rsidR="004C3FDD" w:rsidRPr="004C3FDD" w:rsidRDefault="004C3FDD" w:rsidP="005F5745">
            <w:pPr>
              <w:spacing w:after="0" w:line="240" w:lineRule="auto"/>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 xml:space="preserve">consistencia </w:t>
            </w:r>
          </w:p>
        </w:tc>
        <w:tc>
          <w:tcPr>
            <w:tcW w:w="1472" w:type="dxa"/>
            <w:tcBorders>
              <w:top w:val="single" w:sz="4" w:space="0" w:color="auto"/>
            </w:tcBorders>
            <w:shd w:val="clear" w:color="auto" w:fill="auto"/>
            <w:vAlign w:val="center"/>
          </w:tcPr>
          <w:p w:rsidR="004C3FDD" w:rsidRPr="004C3FDD" w:rsidRDefault="004C3FDD" w:rsidP="004C3FDD">
            <w:pPr>
              <w:spacing w:after="0" w:line="240" w:lineRule="auto"/>
              <w:jc w:val="right"/>
              <w:rPr>
                <w:rFonts w:ascii="Bookman Old Style" w:eastAsia="Times New Roman" w:hAnsi="Bookman Old Style" w:cs="Times New Roman"/>
                <w:color w:val="000000"/>
                <w:sz w:val="18"/>
                <w:szCs w:val="18"/>
                <w:lang w:eastAsia="es-AR"/>
              </w:rPr>
            </w:pPr>
          </w:p>
        </w:tc>
        <w:tc>
          <w:tcPr>
            <w:tcW w:w="1228" w:type="dxa"/>
            <w:tcBorders>
              <w:top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-0.09</w:t>
            </w:r>
          </w:p>
        </w:tc>
        <w:tc>
          <w:tcPr>
            <w:tcW w:w="1253" w:type="dxa"/>
            <w:tcBorders>
              <w:top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-0.11</w:t>
            </w:r>
          </w:p>
        </w:tc>
        <w:tc>
          <w:tcPr>
            <w:tcW w:w="1329" w:type="dxa"/>
            <w:tcBorders>
              <w:top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0.09</w:t>
            </w:r>
          </w:p>
        </w:tc>
        <w:tc>
          <w:tcPr>
            <w:tcW w:w="713" w:type="dxa"/>
            <w:tcBorders>
              <w:top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0.41</w:t>
            </w:r>
          </w:p>
        </w:tc>
        <w:tc>
          <w:tcPr>
            <w:tcW w:w="781" w:type="dxa"/>
            <w:tcBorders>
              <w:top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0.28</w:t>
            </w:r>
          </w:p>
        </w:tc>
      </w:tr>
      <w:tr w:rsidR="005F5745" w:rsidRPr="005F5745" w:rsidTr="005F5745">
        <w:trPr>
          <w:trHeight w:val="765"/>
        </w:trPr>
        <w:tc>
          <w:tcPr>
            <w:tcW w:w="1437" w:type="dxa"/>
            <w:shd w:val="clear" w:color="auto" w:fill="auto"/>
            <w:vAlign w:val="center"/>
            <w:hideMark/>
          </w:tcPr>
          <w:p w:rsidR="004C3FDD" w:rsidRPr="004C3FDD" w:rsidRDefault="004C3FDD" w:rsidP="005F5745">
            <w:pPr>
              <w:spacing w:after="0" w:line="240" w:lineRule="auto"/>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ingreso_hora</w:t>
            </w:r>
            <w:proofErr w:type="spellEnd"/>
            <w:r w:rsidRPr="004C3FDD">
              <w:rPr>
                <w:rFonts w:ascii="Bookman Old Style" w:eastAsia="Times New Roman" w:hAnsi="Bookman Old Style" w:cs="Times New Roman"/>
                <w:color w:val="000000"/>
                <w:sz w:val="18"/>
                <w:szCs w:val="18"/>
                <w:lang w:eastAsia="es-AR"/>
              </w:rPr>
              <w:t xml:space="preserve"> </w:t>
            </w:r>
          </w:p>
        </w:tc>
        <w:tc>
          <w:tcPr>
            <w:tcW w:w="1472" w:type="dxa"/>
            <w:shd w:val="clear" w:color="auto" w:fill="auto"/>
            <w:vAlign w:val="center"/>
          </w:tcPr>
          <w:p w:rsidR="004C3FDD" w:rsidRPr="004C3FDD" w:rsidRDefault="004C3FDD" w:rsidP="004C3FDD">
            <w:pPr>
              <w:spacing w:after="0" w:line="240" w:lineRule="auto"/>
              <w:jc w:val="right"/>
              <w:rPr>
                <w:rFonts w:ascii="Bookman Old Style" w:eastAsia="Times New Roman" w:hAnsi="Bookman Old Style" w:cs="Times New Roman"/>
                <w:color w:val="000000"/>
                <w:sz w:val="18"/>
                <w:szCs w:val="18"/>
                <w:lang w:eastAsia="es-AR"/>
              </w:rPr>
            </w:pPr>
          </w:p>
        </w:tc>
        <w:tc>
          <w:tcPr>
            <w:tcW w:w="1228"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253"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0.39</w:t>
            </w:r>
          </w:p>
        </w:tc>
        <w:tc>
          <w:tcPr>
            <w:tcW w:w="1329"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-0.02</w:t>
            </w:r>
          </w:p>
        </w:tc>
        <w:tc>
          <w:tcPr>
            <w:tcW w:w="713"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0.39</w:t>
            </w:r>
          </w:p>
        </w:tc>
        <w:tc>
          <w:tcPr>
            <w:tcW w:w="781"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0.27</w:t>
            </w:r>
          </w:p>
        </w:tc>
      </w:tr>
      <w:tr w:rsidR="005F5745" w:rsidRPr="005F5745" w:rsidTr="005F5745">
        <w:trPr>
          <w:trHeight w:val="510"/>
        </w:trPr>
        <w:tc>
          <w:tcPr>
            <w:tcW w:w="1437" w:type="dxa"/>
            <w:shd w:val="clear" w:color="auto" w:fill="auto"/>
            <w:vAlign w:val="center"/>
            <w:hideMark/>
          </w:tcPr>
          <w:p w:rsidR="004C3FDD" w:rsidRPr="004C3FDD" w:rsidRDefault="004C3FDD" w:rsidP="005F5745">
            <w:pPr>
              <w:spacing w:after="0" w:line="240" w:lineRule="auto"/>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 xml:space="preserve">seguridad </w:t>
            </w:r>
          </w:p>
        </w:tc>
        <w:tc>
          <w:tcPr>
            <w:tcW w:w="1472" w:type="dxa"/>
            <w:shd w:val="clear" w:color="auto" w:fill="auto"/>
            <w:vAlign w:val="center"/>
          </w:tcPr>
          <w:p w:rsidR="004C3FDD" w:rsidRPr="004C3FDD" w:rsidRDefault="004C3FDD" w:rsidP="004C3FDD">
            <w:pPr>
              <w:spacing w:after="0" w:line="240" w:lineRule="auto"/>
              <w:jc w:val="right"/>
              <w:rPr>
                <w:rFonts w:ascii="Bookman Old Style" w:eastAsia="Times New Roman" w:hAnsi="Bookman Old Style" w:cs="Times New Roman"/>
                <w:color w:val="000000"/>
                <w:sz w:val="18"/>
                <w:szCs w:val="18"/>
                <w:lang w:eastAsia="es-AR"/>
              </w:rPr>
            </w:pPr>
          </w:p>
        </w:tc>
        <w:tc>
          <w:tcPr>
            <w:tcW w:w="1228"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253"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329"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-0.08</w:t>
            </w:r>
          </w:p>
        </w:tc>
        <w:tc>
          <w:tcPr>
            <w:tcW w:w="713"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0.80</w:t>
            </w:r>
          </w:p>
        </w:tc>
        <w:tc>
          <w:tcPr>
            <w:tcW w:w="781"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0.57</w:t>
            </w:r>
          </w:p>
        </w:tc>
      </w:tr>
      <w:tr w:rsidR="005F5745" w:rsidRPr="005F5745" w:rsidTr="005F5745">
        <w:trPr>
          <w:trHeight w:val="510"/>
        </w:trPr>
        <w:tc>
          <w:tcPr>
            <w:tcW w:w="1437" w:type="dxa"/>
            <w:shd w:val="clear" w:color="auto" w:fill="auto"/>
            <w:vAlign w:val="center"/>
            <w:hideMark/>
          </w:tcPr>
          <w:p w:rsidR="004C3FDD" w:rsidRPr="004C3FDD" w:rsidRDefault="004C3FDD" w:rsidP="005F5745">
            <w:pPr>
              <w:spacing w:after="0" w:line="240" w:lineRule="auto"/>
              <w:rPr>
                <w:rFonts w:ascii="Bookman Old Style" w:eastAsia="Times New Roman" w:hAnsi="Bookman Old Style" w:cs="Times New Roman"/>
                <w:color w:val="000000"/>
                <w:sz w:val="18"/>
                <w:szCs w:val="18"/>
                <w:lang w:eastAsia="es-AR"/>
              </w:rPr>
            </w:pPr>
            <w:proofErr w:type="spellStart"/>
            <w:r w:rsidRPr="004C3FDD">
              <w:rPr>
                <w:rFonts w:ascii="Bookman Old Style" w:eastAsia="Times New Roman" w:hAnsi="Bookman Old Style" w:cs="Times New Roman"/>
                <w:color w:val="000000"/>
                <w:sz w:val="18"/>
                <w:szCs w:val="18"/>
                <w:lang w:eastAsia="es-AR"/>
              </w:rPr>
              <w:t>autonomia</w:t>
            </w:r>
            <w:proofErr w:type="spellEnd"/>
            <w:r w:rsidRPr="004C3FDD">
              <w:rPr>
                <w:rFonts w:ascii="Bookman Old Style" w:eastAsia="Times New Roman" w:hAnsi="Bookman Old Style" w:cs="Times New Roman"/>
                <w:color w:val="000000"/>
                <w:sz w:val="18"/>
                <w:szCs w:val="18"/>
                <w:lang w:eastAsia="es-AR"/>
              </w:rPr>
              <w:t xml:space="preserve"> </w:t>
            </w:r>
          </w:p>
        </w:tc>
        <w:tc>
          <w:tcPr>
            <w:tcW w:w="1472" w:type="dxa"/>
            <w:shd w:val="clear" w:color="auto" w:fill="auto"/>
            <w:vAlign w:val="center"/>
          </w:tcPr>
          <w:p w:rsidR="004C3FDD" w:rsidRPr="004C3FDD" w:rsidRDefault="004C3FDD" w:rsidP="004C3FDD">
            <w:pPr>
              <w:spacing w:after="0" w:line="240" w:lineRule="auto"/>
              <w:jc w:val="right"/>
              <w:rPr>
                <w:rFonts w:ascii="Bookman Old Style" w:eastAsia="Times New Roman" w:hAnsi="Bookman Old Style" w:cs="Times New Roman"/>
                <w:color w:val="000000"/>
                <w:sz w:val="18"/>
                <w:szCs w:val="18"/>
                <w:lang w:eastAsia="es-AR"/>
              </w:rPr>
            </w:pPr>
          </w:p>
        </w:tc>
        <w:tc>
          <w:tcPr>
            <w:tcW w:w="1228"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253"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329" w:type="dxa"/>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713"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-0.02</w:t>
            </w:r>
          </w:p>
        </w:tc>
        <w:tc>
          <w:tcPr>
            <w:tcW w:w="781" w:type="dxa"/>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0.61</w:t>
            </w:r>
          </w:p>
        </w:tc>
      </w:tr>
      <w:tr w:rsidR="005F5745" w:rsidRPr="005F5745" w:rsidTr="005F5745">
        <w:trPr>
          <w:trHeight w:val="300"/>
        </w:trPr>
        <w:tc>
          <w:tcPr>
            <w:tcW w:w="1437" w:type="dxa"/>
            <w:tcBorders>
              <w:bottom w:val="single" w:sz="4" w:space="0" w:color="auto"/>
            </w:tcBorders>
            <w:shd w:val="clear" w:color="auto" w:fill="auto"/>
            <w:vAlign w:val="center"/>
            <w:hideMark/>
          </w:tcPr>
          <w:p w:rsidR="004C3FDD" w:rsidRPr="004C3FDD" w:rsidRDefault="004C3FDD" w:rsidP="00B07BF9">
            <w:pPr>
              <w:spacing w:after="0" w:line="240" w:lineRule="auto"/>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 xml:space="preserve">IC </w:t>
            </w:r>
          </w:p>
        </w:tc>
        <w:tc>
          <w:tcPr>
            <w:tcW w:w="1472" w:type="dxa"/>
            <w:tcBorders>
              <w:bottom w:val="single" w:sz="4" w:space="0" w:color="auto"/>
            </w:tcBorders>
            <w:shd w:val="clear" w:color="auto" w:fill="auto"/>
            <w:vAlign w:val="center"/>
          </w:tcPr>
          <w:p w:rsidR="004C3FDD" w:rsidRPr="004C3FDD" w:rsidRDefault="004C3FDD" w:rsidP="004C3FDD">
            <w:pPr>
              <w:spacing w:after="0" w:line="240" w:lineRule="auto"/>
              <w:jc w:val="right"/>
              <w:rPr>
                <w:rFonts w:ascii="Bookman Old Style" w:eastAsia="Times New Roman" w:hAnsi="Bookman Old Style" w:cs="Times New Roman"/>
                <w:color w:val="000000"/>
                <w:sz w:val="18"/>
                <w:szCs w:val="18"/>
                <w:lang w:eastAsia="es-AR"/>
              </w:rPr>
            </w:pPr>
          </w:p>
        </w:tc>
        <w:tc>
          <w:tcPr>
            <w:tcW w:w="1228" w:type="dxa"/>
            <w:tcBorders>
              <w:bottom w:val="single" w:sz="4" w:space="0" w:color="auto"/>
            </w:tcBorders>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253" w:type="dxa"/>
            <w:tcBorders>
              <w:bottom w:val="single" w:sz="4" w:space="0" w:color="auto"/>
            </w:tcBorders>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1329" w:type="dxa"/>
            <w:tcBorders>
              <w:bottom w:val="single" w:sz="4" w:space="0" w:color="auto"/>
            </w:tcBorders>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713" w:type="dxa"/>
            <w:tcBorders>
              <w:bottom w:val="single" w:sz="4" w:space="0" w:color="auto"/>
            </w:tcBorders>
            <w:shd w:val="clear" w:color="auto" w:fill="auto"/>
            <w:vAlign w:val="center"/>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p>
        </w:tc>
        <w:tc>
          <w:tcPr>
            <w:tcW w:w="781" w:type="dxa"/>
            <w:tcBorders>
              <w:bottom w:val="single" w:sz="4" w:space="0" w:color="auto"/>
            </w:tcBorders>
            <w:shd w:val="clear" w:color="auto" w:fill="auto"/>
            <w:vAlign w:val="center"/>
            <w:hideMark/>
          </w:tcPr>
          <w:p w:rsidR="004C3FDD" w:rsidRPr="004C3FDD" w:rsidRDefault="004C3FDD" w:rsidP="00B07BF9">
            <w:pPr>
              <w:spacing w:after="0" w:line="240" w:lineRule="auto"/>
              <w:jc w:val="center"/>
              <w:rPr>
                <w:rFonts w:ascii="Bookman Old Style" w:eastAsia="Times New Roman" w:hAnsi="Bookman Old Style" w:cs="Times New Roman"/>
                <w:color w:val="000000"/>
                <w:sz w:val="18"/>
                <w:szCs w:val="18"/>
                <w:lang w:eastAsia="es-AR"/>
              </w:rPr>
            </w:pPr>
            <w:r w:rsidRPr="004C3FDD">
              <w:rPr>
                <w:rFonts w:ascii="Bookman Old Style" w:eastAsia="Times New Roman" w:hAnsi="Bookman Old Style" w:cs="Times New Roman"/>
                <w:color w:val="000000"/>
                <w:sz w:val="18"/>
                <w:szCs w:val="18"/>
                <w:lang w:eastAsia="es-AR"/>
              </w:rPr>
              <w:t>0.71</w:t>
            </w:r>
          </w:p>
        </w:tc>
      </w:tr>
    </w:tbl>
    <w:p w:rsidR="004C3FDD" w:rsidRPr="005F5745" w:rsidRDefault="004C3FDD" w:rsidP="00F23F3D">
      <w:pPr>
        <w:spacing w:after="0"/>
        <w:rPr>
          <w:rFonts w:ascii="Bookman Old Style" w:hAnsi="Bookman Old Style"/>
          <w:sz w:val="18"/>
          <w:szCs w:val="18"/>
        </w:rPr>
      </w:pPr>
    </w:p>
    <w:p w:rsidR="008B51A2" w:rsidRDefault="00B07BF9" w:rsidP="00690D84">
      <w:pPr>
        <w:spacing w:after="0"/>
        <w:jc w:val="both"/>
        <w:rPr>
          <w:rFonts w:ascii="Bookman Old Style" w:hAnsi="Bookman Old Style"/>
        </w:rPr>
      </w:pPr>
      <w:r>
        <w:rPr>
          <w:rFonts w:ascii="Bookman Old Style" w:hAnsi="Bookman Old Style"/>
        </w:rPr>
        <w:t>Dado que hay  una correlación elevada entre ambos índices y el primero correlaciona mejor con las tres primeras componentes, se decide descartar el segu</w:t>
      </w:r>
      <w:r w:rsidR="005F5745">
        <w:rPr>
          <w:rFonts w:ascii="Bookman Old Style" w:hAnsi="Bookman Old Style"/>
        </w:rPr>
        <w:t>ndo, en especial teniendo en cue</w:t>
      </w:r>
      <w:r>
        <w:rPr>
          <w:rFonts w:ascii="Bookman Old Style" w:hAnsi="Bookman Old Style"/>
        </w:rPr>
        <w:t>nta que el co</w:t>
      </w:r>
      <w:r w:rsidR="008B51A2">
        <w:rPr>
          <w:rFonts w:ascii="Bookman Old Style" w:hAnsi="Bookman Old Style"/>
        </w:rPr>
        <w:t>sto de incluirlo</w:t>
      </w:r>
      <w:r w:rsidR="00256C36">
        <w:rPr>
          <w:rFonts w:ascii="Bookman Old Style" w:hAnsi="Bookman Old Style"/>
        </w:rPr>
        <w:t xml:space="preserve"> </w:t>
      </w:r>
      <w:r>
        <w:rPr>
          <w:rFonts w:ascii="Bookman Old Style" w:hAnsi="Bookman Old Style"/>
        </w:rPr>
        <w:t>sería</w:t>
      </w:r>
      <w:r w:rsidR="00256C36">
        <w:rPr>
          <w:rFonts w:ascii="Bookman Old Style" w:hAnsi="Bookman Old Style"/>
        </w:rPr>
        <w:t xml:space="preserve"> perder la per</w:t>
      </w:r>
      <w:r>
        <w:rPr>
          <w:rFonts w:ascii="Bookman Old Style" w:hAnsi="Bookman Old Style"/>
        </w:rPr>
        <w:t>s</w:t>
      </w:r>
      <w:r w:rsidR="00256C36">
        <w:rPr>
          <w:rFonts w:ascii="Bookman Old Style" w:hAnsi="Bookman Old Style"/>
        </w:rPr>
        <w:t>pectiva longitudinal que aporta la EPH</w:t>
      </w:r>
      <w:r>
        <w:rPr>
          <w:rFonts w:ascii="Bookman Old Style" w:hAnsi="Bookman Old Style"/>
        </w:rPr>
        <w:t>.</w:t>
      </w:r>
    </w:p>
    <w:p w:rsidR="00B07BF9" w:rsidRDefault="00B07BF9" w:rsidP="00B07BF9">
      <w:pPr>
        <w:spacing w:after="0"/>
        <w:rPr>
          <w:rFonts w:ascii="Bookman Old Style" w:hAnsi="Bookman Old Style"/>
        </w:rPr>
      </w:pPr>
    </w:p>
    <w:p w:rsidR="00B07BF9" w:rsidRDefault="00F64724" w:rsidP="00B07BF9">
      <w:pPr>
        <w:spacing w:after="0"/>
        <w:rPr>
          <w:rFonts w:ascii="Bookman Old Style" w:hAnsi="Bookman Old Style"/>
        </w:rPr>
      </w:pPr>
      <w:r>
        <w:rPr>
          <w:rFonts w:ascii="Bookman Old Style" w:hAnsi="Bookman Old Style"/>
        </w:rPr>
        <w:t>Las medidas descriptivas del índice (en adelante IC) son las siguientes</w:t>
      </w:r>
      <w:r w:rsidR="00C8381C">
        <w:rPr>
          <w:rFonts w:ascii="Bookman Old Style" w:hAnsi="Bookman Old Style"/>
        </w:rPr>
        <w:t>:</w:t>
      </w:r>
    </w:p>
    <w:p w:rsidR="00C8381C" w:rsidRDefault="00C8381C" w:rsidP="00B07BF9">
      <w:pPr>
        <w:spacing w:after="0"/>
        <w:rPr>
          <w:rFonts w:ascii="Bookman Old Style" w:hAnsi="Bookman Old Styl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843"/>
      </w:tblGrid>
      <w:tr w:rsidR="00C8381C" w:rsidRPr="00C8381C" w:rsidTr="00C8381C">
        <w:trPr>
          <w:jc w:val="center"/>
        </w:trPr>
        <w:tc>
          <w:tcPr>
            <w:tcW w:w="2093" w:type="dxa"/>
          </w:tcPr>
          <w:p w:rsidR="00C8381C" w:rsidRPr="00C8381C" w:rsidRDefault="00C8381C" w:rsidP="00C21785">
            <w:pPr>
              <w:rPr>
                <w:rFonts w:ascii="Bookman Old Style" w:hAnsi="Bookman Old Style"/>
              </w:rPr>
            </w:pPr>
            <w:r w:rsidRPr="00C8381C">
              <w:rPr>
                <w:rFonts w:ascii="Bookman Old Style" w:hAnsi="Bookman Old Style"/>
              </w:rPr>
              <w:t>Min: 4.43</w:t>
            </w:r>
          </w:p>
        </w:tc>
        <w:tc>
          <w:tcPr>
            <w:tcW w:w="1843" w:type="dxa"/>
          </w:tcPr>
          <w:p w:rsidR="00C8381C" w:rsidRPr="00C8381C" w:rsidRDefault="00C8381C" w:rsidP="00C21785">
            <w:pPr>
              <w:rPr>
                <w:rFonts w:ascii="Bookman Old Style" w:hAnsi="Bookman Old Style"/>
              </w:rPr>
            </w:pPr>
            <w:r w:rsidRPr="00C8381C">
              <w:rPr>
                <w:rFonts w:ascii="Bookman Old Style" w:hAnsi="Bookman Old Style"/>
              </w:rPr>
              <w:t>P75: 60.03</w:t>
            </w:r>
          </w:p>
        </w:tc>
      </w:tr>
      <w:tr w:rsidR="00C8381C" w:rsidRPr="00C8381C" w:rsidTr="00C8381C">
        <w:trPr>
          <w:jc w:val="center"/>
        </w:trPr>
        <w:tc>
          <w:tcPr>
            <w:tcW w:w="2093" w:type="dxa"/>
          </w:tcPr>
          <w:p w:rsidR="00C8381C" w:rsidRPr="00C8381C" w:rsidRDefault="00C8381C" w:rsidP="00C21785">
            <w:pPr>
              <w:rPr>
                <w:rFonts w:ascii="Bookman Old Style" w:hAnsi="Bookman Old Style"/>
              </w:rPr>
            </w:pPr>
            <w:r w:rsidRPr="00C8381C">
              <w:rPr>
                <w:rFonts w:ascii="Bookman Old Style" w:hAnsi="Bookman Old Style"/>
              </w:rPr>
              <w:lastRenderedPageBreak/>
              <w:t>P25: 47.86</w:t>
            </w:r>
          </w:p>
        </w:tc>
        <w:tc>
          <w:tcPr>
            <w:tcW w:w="1843" w:type="dxa"/>
          </w:tcPr>
          <w:p w:rsidR="00C8381C" w:rsidRPr="00C8381C" w:rsidRDefault="00C8381C" w:rsidP="00C21785">
            <w:pPr>
              <w:rPr>
                <w:rFonts w:ascii="Bookman Old Style" w:hAnsi="Bookman Old Style"/>
              </w:rPr>
            </w:pPr>
            <w:r w:rsidRPr="00C8381C">
              <w:rPr>
                <w:rFonts w:ascii="Bookman Old Style" w:hAnsi="Bookman Old Style"/>
              </w:rPr>
              <w:t>Media: 51.93</w:t>
            </w:r>
          </w:p>
        </w:tc>
      </w:tr>
      <w:tr w:rsidR="00C8381C" w:rsidRPr="00C8381C" w:rsidTr="00C8381C">
        <w:trPr>
          <w:jc w:val="center"/>
        </w:trPr>
        <w:tc>
          <w:tcPr>
            <w:tcW w:w="2093" w:type="dxa"/>
          </w:tcPr>
          <w:p w:rsidR="00C8381C" w:rsidRPr="00C8381C" w:rsidRDefault="00C8381C" w:rsidP="00C21785">
            <w:pPr>
              <w:rPr>
                <w:rFonts w:ascii="Bookman Old Style" w:hAnsi="Bookman Old Style"/>
              </w:rPr>
            </w:pPr>
            <w:r w:rsidRPr="00C8381C">
              <w:rPr>
                <w:rFonts w:ascii="Bookman Old Style" w:hAnsi="Bookman Old Style"/>
              </w:rPr>
              <w:t>P50: 56.04</w:t>
            </w:r>
          </w:p>
        </w:tc>
        <w:tc>
          <w:tcPr>
            <w:tcW w:w="1843" w:type="dxa"/>
          </w:tcPr>
          <w:p w:rsidR="00C8381C" w:rsidRPr="00C8381C" w:rsidRDefault="00C8381C" w:rsidP="00C21785">
            <w:pPr>
              <w:rPr>
                <w:rFonts w:ascii="Bookman Old Style" w:hAnsi="Bookman Old Style"/>
              </w:rPr>
            </w:pPr>
            <w:r w:rsidRPr="00C8381C">
              <w:rPr>
                <w:rFonts w:ascii="Bookman Old Style" w:hAnsi="Bookman Old Style"/>
              </w:rPr>
              <w:t>Max: 87.70</w:t>
            </w:r>
          </w:p>
        </w:tc>
      </w:tr>
      <w:tr w:rsidR="00795727" w:rsidRPr="00C8381C" w:rsidTr="00C8381C">
        <w:trPr>
          <w:jc w:val="center"/>
        </w:trPr>
        <w:tc>
          <w:tcPr>
            <w:tcW w:w="2093" w:type="dxa"/>
          </w:tcPr>
          <w:p w:rsidR="00795727" w:rsidRPr="00C8381C" w:rsidRDefault="00795727" w:rsidP="00C21785">
            <w:pPr>
              <w:rPr>
                <w:rFonts w:ascii="Bookman Old Style" w:hAnsi="Bookman Old Style"/>
              </w:rPr>
            </w:pPr>
            <w:r>
              <w:rPr>
                <w:rFonts w:ascii="Bookman Old Style" w:hAnsi="Bookman Old Style"/>
              </w:rPr>
              <w:t>As: -1.28</w:t>
            </w:r>
          </w:p>
        </w:tc>
        <w:tc>
          <w:tcPr>
            <w:tcW w:w="1843" w:type="dxa"/>
          </w:tcPr>
          <w:p w:rsidR="00795727" w:rsidRPr="00C8381C" w:rsidRDefault="00795727" w:rsidP="00795727">
            <w:pPr>
              <w:rPr>
                <w:rFonts w:ascii="Bookman Old Style" w:hAnsi="Bookman Old Style"/>
              </w:rPr>
            </w:pPr>
            <w:proofErr w:type="spellStart"/>
            <w:r>
              <w:rPr>
                <w:rFonts w:ascii="Bookman Old Style" w:hAnsi="Bookman Old Style"/>
              </w:rPr>
              <w:t>Ku</w:t>
            </w:r>
            <w:proofErr w:type="spellEnd"/>
            <w:r>
              <w:rPr>
                <w:rFonts w:ascii="Bookman Old Style" w:hAnsi="Bookman Old Style"/>
              </w:rPr>
              <w:t>:</w:t>
            </w:r>
            <w:r w:rsidRPr="00795727">
              <w:rPr>
                <w:rFonts w:ascii="Bookman Old Style" w:hAnsi="Bookman Old Style"/>
              </w:rPr>
              <w:t xml:space="preserve"> 3.87</w:t>
            </w:r>
          </w:p>
        </w:tc>
      </w:tr>
    </w:tbl>
    <w:p w:rsidR="0075612A" w:rsidRDefault="0075612A" w:rsidP="00B07BF9">
      <w:pPr>
        <w:spacing w:after="0"/>
        <w:rPr>
          <w:rFonts w:ascii="Bookman Old Style" w:hAnsi="Bookman Old Style"/>
        </w:rPr>
      </w:pPr>
    </w:p>
    <w:p w:rsidR="0075612A" w:rsidRDefault="0075612A" w:rsidP="00B07BF9">
      <w:pPr>
        <w:spacing w:after="0"/>
        <w:rPr>
          <w:rFonts w:ascii="Bookman Old Style" w:hAnsi="Bookman Old Style"/>
        </w:rPr>
      </w:pPr>
    </w:p>
    <w:p w:rsidR="0075612A" w:rsidRDefault="0075612A" w:rsidP="00690D84">
      <w:pPr>
        <w:spacing w:after="0"/>
        <w:jc w:val="both"/>
        <w:rPr>
          <w:rFonts w:ascii="Bookman Old Style" w:hAnsi="Bookman Old Style"/>
        </w:rPr>
      </w:pPr>
      <w:r>
        <w:rPr>
          <w:rFonts w:ascii="Bookman Old Style" w:hAnsi="Bookman Old Style"/>
        </w:rPr>
        <w:t xml:space="preserve">Se aprecia la asimetría de la distribución y una prueba </w:t>
      </w:r>
      <w:r w:rsidR="00CF3111">
        <w:rPr>
          <w:rFonts w:ascii="Bookman Old Style" w:hAnsi="Bookman Old Style"/>
        </w:rPr>
        <w:t xml:space="preserve">de </w:t>
      </w:r>
      <w:proofErr w:type="spellStart"/>
      <w:r w:rsidR="00CF3111" w:rsidRPr="00CF3111">
        <w:rPr>
          <w:rFonts w:ascii="Bookman Old Style" w:hAnsi="Bookman Old Style"/>
        </w:rPr>
        <w:t>Lilliefors</w:t>
      </w:r>
      <w:proofErr w:type="spellEnd"/>
      <w:r w:rsidR="00CF3111">
        <w:rPr>
          <w:rFonts w:ascii="Bookman Old Style" w:hAnsi="Bookman Old Style"/>
        </w:rPr>
        <w:t xml:space="preserve"> </w:t>
      </w:r>
      <w:r>
        <w:rPr>
          <w:rFonts w:ascii="Bookman Old Style" w:hAnsi="Bookman Old Style"/>
        </w:rPr>
        <w:t>muestra efectivamente que la distrib</w:t>
      </w:r>
      <w:r w:rsidR="00CF3111">
        <w:rPr>
          <w:rFonts w:ascii="Bookman Old Style" w:hAnsi="Bookman Old Style"/>
        </w:rPr>
        <w:t>u</w:t>
      </w:r>
      <w:r>
        <w:rPr>
          <w:rFonts w:ascii="Bookman Old Style" w:hAnsi="Bookman Old Style"/>
        </w:rPr>
        <w:t>ción no sería adecuadamente aproximada con un modelo normal. Por ello, se opta por una transformación</w:t>
      </w:r>
      <w:r w:rsidR="00CF3111">
        <w:rPr>
          <w:rFonts w:ascii="Bookman Old Style" w:hAnsi="Bookman Old Style"/>
        </w:rPr>
        <w:t xml:space="preserve"> de Box-Cox, con lambda de 3.19, con lo que la asimetría</w:t>
      </w:r>
      <w:r w:rsidR="00795727">
        <w:rPr>
          <w:rFonts w:ascii="Bookman Old Style" w:hAnsi="Bookman Old Style"/>
        </w:rPr>
        <w:t xml:space="preserve"> disminuye sustancialmente.</w:t>
      </w:r>
    </w:p>
    <w:p w:rsidR="00795727" w:rsidRDefault="00795727" w:rsidP="00B07BF9">
      <w:pPr>
        <w:spacing w:after="0"/>
        <w:rPr>
          <w:rFonts w:ascii="Bookman Old Style" w:hAnsi="Bookman Old Style"/>
        </w:rPr>
      </w:pPr>
      <w:r>
        <w:rPr>
          <w:rFonts w:ascii="Bookman Old Style" w:hAnsi="Bookman Old Style"/>
        </w:rPr>
        <w:t>Con la transformación, los descriptivos resultan:</w:t>
      </w:r>
    </w:p>
    <w:p w:rsidR="00795727" w:rsidRDefault="00795727" w:rsidP="00B07BF9">
      <w:pPr>
        <w:spacing w:after="0"/>
        <w:rPr>
          <w:rFonts w:ascii="Bookman Old Style" w:hAnsi="Bookman Old Styl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843"/>
      </w:tblGrid>
      <w:tr w:rsidR="00795727" w:rsidRPr="00C8381C" w:rsidTr="00C21785">
        <w:trPr>
          <w:jc w:val="center"/>
        </w:trPr>
        <w:tc>
          <w:tcPr>
            <w:tcW w:w="2093" w:type="dxa"/>
          </w:tcPr>
          <w:p w:rsidR="00795727" w:rsidRPr="00C8381C" w:rsidRDefault="00795727" w:rsidP="00C21785">
            <w:pPr>
              <w:rPr>
                <w:rFonts w:ascii="Bookman Old Style" w:hAnsi="Bookman Old Style"/>
              </w:rPr>
            </w:pPr>
            <w:r w:rsidRPr="00C8381C">
              <w:rPr>
                <w:rFonts w:ascii="Bookman Old Style" w:hAnsi="Bookman Old Style"/>
              </w:rPr>
              <w:t>Min: 4.43</w:t>
            </w:r>
          </w:p>
        </w:tc>
        <w:tc>
          <w:tcPr>
            <w:tcW w:w="1843" w:type="dxa"/>
          </w:tcPr>
          <w:p w:rsidR="00795727" w:rsidRPr="00C8381C" w:rsidRDefault="00795727" w:rsidP="00C21785">
            <w:pPr>
              <w:rPr>
                <w:rFonts w:ascii="Bookman Old Style" w:hAnsi="Bookman Old Style"/>
              </w:rPr>
            </w:pPr>
            <w:r w:rsidRPr="00C8381C">
              <w:rPr>
                <w:rFonts w:ascii="Bookman Old Style" w:hAnsi="Bookman Old Style"/>
              </w:rPr>
              <w:t>P75: 60.03</w:t>
            </w:r>
          </w:p>
        </w:tc>
      </w:tr>
      <w:tr w:rsidR="00795727" w:rsidRPr="00C8381C" w:rsidTr="00C21785">
        <w:trPr>
          <w:jc w:val="center"/>
        </w:trPr>
        <w:tc>
          <w:tcPr>
            <w:tcW w:w="2093" w:type="dxa"/>
          </w:tcPr>
          <w:p w:rsidR="00795727" w:rsidRPr="00C8381C" w:rsidRDefault="00795727" w:rsidP="00C21785">
            <w:pPr>
              <w:rPr>
                <w:rFonts w:ascii="Bookman Old Style" w:hAnsi="Bookman Old Style"/>
              </w:rPr>
            </w:pPr>
            <w:r w:rsidRPr="00C8381C">
              <w:rPr>
                <w:rFonts w:ascii="Bookman Old Style" w:hAnsi="Bookman Old Style"/>
              </w:rPr>
              <w:t>P25: 47.86</w:t>
            </w:r>
          </w:p>
        </w:tc>
        <w:tc>
          <w:tcPr>
            <w:tcW w:w="1843" w:type="dxa"/>
          </w:tcPr>
          <w:p w:rsidR="00795727" w:rsidRPr="00C8381C" w:rsidRDefault="00795727" w:rsidP="00795727">
            <w:pPr>
              <w:rPr>
                <w:rFonts w:ascii="Bookman Old Style" w:hAnsi="Bookman Old Style"/>
              </w:rPr>
            </w:pPr>
            <w:r w:rsidRPr="00C8381C">
              <w:rPr>
                <w:rFonts w:ascii="Bookman Old Style" w:hAnsi="Bookman Old Style"/>
              </w:rPr>
              <w:t>Media: 5</w:t>
            </w:r>
            <w:r>
              <w:rPr>
                <w:rFonts w:ascii="Bookman Old Style" w:hAnsi="Bookman Old Style"/>
              </w:rPr>
              <w:t>4</w:t>
            </w:r>
            <w:r w:rsidRPr="00C8381C">
              <w:rPr>
                <w:rFonts w:ascii="Bookman Old Style" w:hAnsi="Bookman Old Style"/>
              </w:rPr>
              <w:t>.</w:t>
            </w:r>
            <w:r>
              <w:rPr>
                <w:rFonts w:ascii="Bookman Old Style" w:hAnsi="Bookman Old Style"/>
              </w:rPr>
              <w:t>38</w:t>
            </w:r>
          </w:p>
        </w:tc>
      </w:tr>
      <w:tr w:rsidR="00795727" w:rsidRPr="00C8381C" w:rsidTr="00C21785">
        <w:trPr>
          <w:jc w:val="center"/>
        </w:trPr>
        <w:tc>
          <w:tcPr>
            <w:tcW w:w="2093" w:type="dxa"/>
          </w:tcPr>
          <w:p w:rsidR="00795727" w:rsidRPr="00C8381C" w:rsidRDefault="00795727" w:rsidP="00C21785">
            <w:pPr>
              <w:rPr>
                <w:rFonts w:ascii="Bookman Old Style" w:hAnsi="Bookman Old Style"/>
              </w:rPr>
            </w:pPr>
            <w:r w:rsidRPr="00C8381C">
              <w:rPr>
                <w:rFonts w:ascii="Bookman Old Style" w:hAnsi="Bookman Old Style"/>
              </w:rPr>
              <w:t>P50: 56.04</w:t>
            </w:r>
          </w:p>
        </w:tc>
        <w:tc>
          <w:tcPr>
            <w:tcW w:w="1843" w:type="dxa"/>
          </w:tcPr>
          <w:p w:rsidR="00795727" w:rsidRPr="00C8381C" w:rsidRDefault="00795727" w:rsidP="00C21785">
            <w:pPr>
              <w:rPr>
                <w:rFonts w:ascii="Bookman Old Style" w:hAnsi="Bookman Old Style"/>
              </w:rPr>
            </w:pPr>
            <w:r w:rsidRPr="00C8381C">
              <w:rPr>
                <w:rFonts w:ascii="Bookman Old Style" w:hAnsi="Bookman Old Style"/>
              </w:rPr>
              <w:t>Max: 87.70</w:t>
            </w:r>
          </w:p>
        </w:tc>
      </w:tr>
      <w:tr w:rsidR="00795727" w:rsidRPr="00C8381C" w:rsidTr="00C21785">
        <w:trPr>
          <w:jc w:val="center"/>
        </w:trPr>
        <w:tc>
          <w:tcPr>
            <w:tcW w:w="2093" w:type="dxa"/>
          </w:tcPr>
          <w:p w:rsidR="00795727" w:rsidRPr="00C8381C" w:rsidRDefault="00795727" w:rsidP="00C21785">
            <w:pPr>
              <w:rPr>
                <w:rFonts w:ascii="Bookman Old Style" w:hAnsi="Bookman Old Style"/>
              </w:rPr>
            </w:pPr>
            <w:r>
              <w:rPr>
                <w:rFonts w:ascii="Bookman Old Style" w:hAnsi="Bookman Old Style"/>
              </w:rPr>
              <w:t>As: -0.73</w:t>
            </w:r>
          </w:p>
        </w:tc>
        <w:tc>
          <w:tcPr>
            <w:tcW w:w="1843" w:type="dxa"/>
          </w:tcPr>
          <w:p w:rsidR="00795727" w:rsidRPr="00C8381C" w:rsidRDefault="00795727" w:rsidP="00795727">
            <w:pPr>
              <w:rPr>
                <w:rFonts w:ascii="Bookman Old Style" w:hAnsi="Bookman Old Style"/>
              </w:rPr>
            </w:pPr>
            <w:proofErr w:type="spellStart"/>
            <w:r>
              <w:rPr>
                <w:rFonts w:ascii="Bookman Old Style" w:hAnsi="Bookman Old Style"/>
              </w:rPr>
              <w:t>Ku</w:t>
            </w:r>
            <w:proofErr w:type="spellEnd"/>
            <w:r>
              <w:rPr>
                <w:rFonts w:ascii="Bookman Old Style" w:hAnsi="Bookman Old Style"/>
              </w:rPr>
              <w:t>: 1.38</w:t>
            </w:r>
          </w:p>
        </w:tc>
      </w:tr>
    </w:tbl>
    <w:p w:rsidR="00795727" w:rsidRDefault="00795727" w:rsidP="00B07BF9">
      <w:pPr>
        <w:spacing w:after="0"/>
        <w:rPr>
          <w:rFonts w:ascii="Bookman Old Style" w:hAnsi="Bookman Old Style"/>
        </w:rPr>
      </w:pPr>
    </w:p>
    <w:p w:rsidR="00795727" w:rsidRDefault="00795727" w:rsidP="00690D84">
      <w:pPr>
        <w:spacing w:after="0"/>
        <w:jc w:val="both"/>
        <w:rPr>
          <w:rFonts w:ascii="Bookman Old Style" w:hAnsi="Bookman Old Style"/>
        </w:rPr>
      </w:pPr>
      <w:r>
        <w:rPr>
          <w:rFonts w:ascii="Bookman Old Style" w:hAnsi="Bookman Old Style"/>
        </w:rPr>
        <w:t>El así definido índice de calidad</w:t>
      </w:r>
      <w:r w:rsidR="006E36D0">
        <w:rPr>
          <w:rFonts w:ascii="Bookman Old Style" w:hAnsi="Bookman Old Style"/>
        </w:rPr>
        <w:t xml:space="preserve">, al que llamamos </w:t>
      </w:r>
      <w:proofErr w:type="spellStart"/>
      <w:r w:rsidR="006E36D0">
        <w:rPr>
          <w:rFonts w:ascii="Bookman Old Style" w:hAnsi="Bookman Old Style"/>
        </w:rPr>
        <w:t>ICbc</w:t>
      </w:r>
      <w:proofErr w:type="spellEnd"/>
      <w:r>
        <w:rPr>
          <w:rFonts w:ascii="Bookman Old Style" w:hAnsi="Bookman Old Style"/>
        </w:rPr>
        <w:t xml:space="preserve"> </w:t>
      </w:r>
      <w:r w:rsidR="00C2603C">
        <w:rPr>
          <w:rFonts w:ascii="Bookman Old Style" w:hAnsi="Bookman Old Style"/>
        </w:rPr>
        <w:t xml:space="preserve">muestra diferencias </w:t>
      </w:r>
      <w:r w:rsidR="006E36D0">
        <w:rPr>
          <w:rFonts w:ascii="Bookman Old Style" w:hAnsi="Bookman Old Style"/>
        </w:rPr>
        <w:t xml:space="preserve">en su distribución </w:t>
      </w:r>
      <w:r w:rsidR="00C2603C">
        <w:rPr>
          <w:rFonts w:ascii="Bookman Old Style" w:hAnsi="Bookman Old Style"/>
        </w:rPr>
        <w:t>según sexos y</w:t>
      </w:r>
      <w:r>
        <w:rPr>
          <w:rFonts w:ascii="Bookman Old Style" w:hAnsi="Bookman Old Style"/>
        </w:rPr>
        <w:t xml:space="preserve"> orígenes migratorios:</w:t>
      </w:r>
    </w:p>
    <w:p w:rsidR="00CF3111" w:rsidRDefault="00795727" w:rsidP="00795727">
      <w:pPr>
        <w:spacing w:after="0"/>
        <w:jc w:val="center"/>
        <w:rPr>
          <w:rFonts w:ascii="Bookman Old Style" w:hAnsi="Bookman Old Style"/>
        </w:rPr>
      </w:pPr>
      <w:r>
        <w:rPr>
          <w:rFonts w:ascii="Bookman Old Style" w:hAnsi="Bookman Old Style"/>
          <w:noProof/>
          <w:lang w:eastAsia="es-AR"/>
        </w:rPr>
        <w:drawing>
          <wp:inline distT="0" distB="0" distL="0" distR="0">
            <wp:extent cx="4474800" cy="2761200"/>
            <wp:effectExtent l="0" t="0" r="2540" b="127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por_sexo_origen"/>
                    <pic:cNvPicPr/>
                  </pic:nvPicPr>
                  <pic:blipFill>
                    <a:blip r:embed="rId6">
                      <a:extLst>
                        <a:ext uri="{28A0092B-C50C-407E-A947-70E740481C1C}">
                          <a14:useLocalDpi xmlns:a14="http://schemas.microsoft.com/office/drawing/2010/main" val="0"/>
                        </a:ext>
                      </a:extLst>
                    </a:blip>
                    <a:stretch>
                      <a:fillRect/>
                    </a:stretch>
                  </pic:blipFill>
                  <pic:spPr>
                    <a:xfrm>
                      <a:off x="0" y="0"/>
                      <a:ext cx="4474800" cy="2761200"/>
                    </a:xfrm>
                    <a:prstGeom prst="rect">
                      <a:avLst/>
                    </a:prstGeom>
                  </pic:spPr>
                </pic:pic>
              </a:graphicData>
            </a:graphic>
          </wp:inline>
        </w:drawing>
      </w:r>
    </w:p>
    <w:p w:rsidR="00CF3111" w:rsidRDefault="008969DD" w:rsidP="00690D84">
      <w:pPr>
        <w:spacing w:after="0"/>
        <w:jc w:val="both"/>
        <w:rPr>
          <w:rFonts w:ascii="Bookman Old Style" w:hAnsi="Bookman Old Style"/>
        </w:rPr>
      </w:pPr>
      <w:r>
        <w:rPr>
          <w:rFonts w:ascii="Bookman Old Style" w:hAnsi="Bookman Old Style"/>
        </w:rPr>
        <w:t>En todos los grupos se observa una polarización, con una mayoría en niveles altos del índice y un conjunto de personas en situación desfavorecida. Este conjunto es más acentuado entre las personas de origen extranjero y más aún entre las mujeres extranjeras, entre quienes aparece un conjunto extremo en la peor condición.</w:t>
      </w:r>
    </w:p>
    <w:p w:rsidR="008969DD" w:rsidRDefault="008969DD" w:rsidP="00B07BF9">
      <w:pPr>
        <w:spacing w:after="0"/>
        <w:rPr>
          <w:rFonts w:ascii="Bookman Old Style" w:hAnsi="Bookman Old Style"/>
        </w:rPr>
      </w:pPr>
      <w:r>
        <w:rPr>
          <w:rFonts w:ascii="Bookman Old Style" w:hAnsi="Bookman Old Style"/>
        </w:rPr>
        <w:t>También se observan diferencias regionales:</w:t>
      </w:r>
    </w:p>
    <w:p w:rsidR="008969DD" w:rsidRDefault="008969DD" w:rsidP="008969DD">
      <w:pPr>
        <w:spacing w:after="0"/>
        <w:jc w:val="center"/>
        <w:rPr>
          <w:rFonts w:ascii="Bookman Old Style" w:hAnsi="Bookman Old Style"/>
        </w:rPr>
      </w:pPr>
      <w:r>
        <w:rPr>
          <w:rFonts w:ascii="Bookman Old Style" w:hAnsi="Bookman Old Style"/>
          <w:noProof/>
          <w:lang w:eastAsia="es-AR"/>
        </w:rPr>
        <w:lastRenderedPageBreak/>
        <w:drawing>
          <wp:inline distT="0" distB="0" distL="0" distR="0">
            <wp:extent cx="4885200" cy="2944800"/>
            <wp:effectExtent l="0" t="0" r="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regiones"/>
                    <pic:cNvPicPr/>
                  </pic:nvPicPr>
                  <pic:blipFill>
                    <a:blip r:embed="rId7">
                      <a:extLst>
                        <a:ext uri="{28A0092B-C50C-407E-A947-70E740481C1C}">
                          <a14:useLocalDpi xmlns:a14="http://schemas.microsoft.com/office/drawing/2010/main" val="0"/>
                        </a:ext>
                      </a:extLst>
                    </a:blip>
                    <a:stretch>
                      <a:fillRect/>
                    </a:stretch>
                  </pic:blipFill>
                  <pic:spPr>
                    <a:xfrm>
                      <a:off x="0" y="0"/>
                      <a:ext cx="4885200" cy="2944800"/>
                    </a:xfrm>
                    <a:prstGeom prst="rect">
                      <a:avLst/>
                    </a:prstGeom>
                  </pic:spPr>
                </pic:pic>
              </a:graphicData>
            </a:graphic>
          </wp:inline>
        </w:drawing>
      </w:r>
    </w:p>
    <w:p w:rsidR="008969DD" w:rsidRDefault="00E070CE" w:rsidP="00690D84">
      <w:pPr>
        <w:spacing w:after="0"/>
        <w:jc w:val="both"/>
        <w:rPr>
          <w:rFonts w:ascii="Bookman Old Style" w:hAnsi="Bookman Old Style"/>
        </w:rPr>
      </w:pPr>
      <w:r>
        <w:rPr>
          <w:rFonts w:ascii="Bookman Old Style" w:hAnsi="Bookman Old Style"/>
        </w:rPr>
        <w:t xml:space="preserve">En </w:t>
      </w:r>
      <w:r w:rsidR="008969DD">
        <w:rPr>
          <w:rFonts w:ascii="Bookman Old Style" w:hAnsi="Bookman Old Style"/>
        </w:rPr>
        <w:t xml:space="preserve">la </w:t>
      </w:r>
      <w:r>
        <w:rPr>
          <w:rFonts w:ascii="Bookman Old Style" w:hAnsi="Bookman Old Style"/>
        </w:rPr>
        <w:t xml:space="preserve">que la </w:t>
      </w:r>
      <w:r w:rsidR="008969DD">
        <w:rPr>
          <w:rFonts w:ascii="Bookman Old Style" w:hAnsi="Bookman Old Style"/>
        </w:rPr>
        <w:t xml:space="preserve">región Patagónica </w:t>
      </w:r>
      <w:r>
        <w:rPr>
          <w:rFonts w:ascii="Bookman Old Style" w:hAnsi="Bookman Old Style"/>
        </w:rPr>
        <w:t xml:space="preserve">muestra </w:t>
      </w:r>
      <w:r w:rsidR="008969DD">
        <w:rPr>
          <w:rFonts w:ascii="Bookman Old Style" w:hAnsi="Bookman Old Style"/>
        </w:rPr>
        <w:t xml:space="preserve">la mejor condición </w:t>
      </w:r>
      <w:r>
        <w:rPr>
          <w:rFonts w:ascii="Bookman Old Style" w:hAnsi="Bookman Old Style"/>
        </w:rPr>
        <w:t>en cuanto a calidad de la inserción laboral y el NOA la peor de ellas.</w:t>
      </w:r>
    </w:p>
    <w:p w:rsidR="001327DD" w:rsidRDefault="001327DD" w:rsidP="008969DD">
      <w:pPr>
        <w:spacing w:after="0"/>
        <w:rPr>
          <w:rFonts w:ascii="Bookman Old Style" w:hAnsi="Bookman Old Style"/>
        </w:rPr>
      </w:pPr>
    </w:p>
    <w:p w:rsidR="00F2635A" w:rsidRDefault="00F2635A" w:rsidP="00690D84">
      <w:pPr>
        <w:spacing w:after="0"/>
        <w:jc w:val="both"/>
        <w:rPr>
          <w:rFonts w:ascii="Bookman Old Style" w:hAnsi="Bookman Old Style"/>
        </w:rPr>
      </w:pPr>
      <w:r>
        <w:rPr>
          <w:rFonts w:ascii="Bookman Old Style" w:hAnsi="Bookman Old Style"/>
        </w:rPr>
        <w:t xml:space="preserve">En consonancia con los antecedentes, en especial </w:t>
      </w:r>
      <w:proofErr w:type="spellStart"/>
      <w:r>
        <w:rPr>
          <w:rFonts w:ascii="Bookman Old Style" w:hAnsi="Bookman Old Style"/>
        </w:rPr>
        <w:t>Filmer</w:t>
      </w:r>
      <w:proofErr w:type="spellEnd"/>
      <w:r>
        <w:rPr>
          <w:rFonts w:ascii="Bookman Old Style" w:hAnsi="Bookman Old Style"/>
        </w:rPr>
        <w:t xml:space="preserve"> &amp; </w:t>
      </w:r>
      <w:proofErr w:type="spellStart"/>
      <w:r>
        <w:rPr>
          <w:rFonts w:ascii="Bookman Old Style" w:hAnsi="Bookman Old Style"/>
        </w:rPr>
        <w:t>Pritchett</w:t>
      </w:r>
      <w:proofErr w:type="spellEnd"/>
      <w:r>
        <w:rPr>
          <w:rFonts w:ascii="Bookman Old Style" w:hAnsi="Bookman Old Style"/>
        </w:rPr>
        <w:t xml:space="preserve"> (2001), se ensayó un análisis de componentes principales sobre las tres componentes definidas teóricamente.</w:t>
      </w:r>
      <w:r w:rsidRPr="00F2635A">
        <w:rPr>
          <w:rFonts w:ascii="Bookman Old Style" w:hAnsi="Bookman Old Style"/>
        </w:rPr>
        <w:t xml:space="preserve"> </w:t>
      </w:r>
      <w:r>
        <w:rPr>
          <w:rFonts w:ascii="Bookman Old Style" w:hAnsi="Bookman Old Style"/>
        </w:rPr>
        <w:t>El resultado muestra que la primera componente concentra el 83% de la varianza, y correlaciona correctamente con IC (r=0.90). La tercera expresión sintética de las componentes será entonces esta primera componente del PCA</w:t>
      </w:r>
      <w:r w:rsidR="006E36D0">
        <w:rPr>
          <w:rFonts w:ascii="Bookman Old Style" w:hAnsi="Bookman Old Style"/>
        </w:rPr>
        <w:t>, a la que se denomina QI</w:t>
      </w:r>
      <w:r>
        <w:rPr>
          <w:rFonts w:ascii="Bookman Old Style" w:hAnsi="Bookman Old Style"/>
        </w:rPr>
        <w:t>.</w:t>
      </w:r>
    </w:p>
    <w:p w:rsidR="00F2635A" w:rsidRDefault="00F2635A" w:rsidP="008969DD">
      <w:pPr>
        <w:spacing w:after="0"/>
        <w:rPr>
          <w:rFonts w:ascii="Bookman Old Style" w:hAnsi="Bookman Old Style"/>
        </w:rPr>
      </w:pPr>
    </w:p>
    <w:p w:rsidR="001327DD" w:rsidRPr="001327DD" w:rsidRDefault="001327DD" w:rsidP="008969DD">
      <w:pPr>
        <w:spacing w:after="0"/>
        <w:rPr>
          <w:rFonts w:ascii="Bookman Old Style" w:hAnsi="Bookman Old Style"/>
          <w:sz w:val="26"/>
          <w:szCs w:val="26"/>
        </w:rPr>
      </w:pPr>
      <w:r w:rsidRPr="001327DD">
        <w:rPr>
          <w:rFonts w:ascii="Bookman Old Style" w:hAnsi="Bookman Old Style"/>
          <w:sz w:val="26"/>
          <w:szCs w:val="26"/>
        </w:rPr>
        <w:t>Modelización</w:t>
      </w:r>
    </w:p>
    <w:p w:rsidR="001327DD" w:rsidRDefault="001327DD" w:rsidP="00690D84">
      <w:pPr>
        <w:spacing w:after="0"/>
        <w:jc w:val="both"/>
        <w:rPr>
          <w:rFonts w:ascii="Bookman Old Style" w:hAnsi="Bookman Old Style"/>
        </w:rPr>
      </w:pPr>
      <w:r>
        <w:rPr>
          <w:rFonts w:ascii="Bookman Old Style" w:hAnsi="Bookman Old Style"/>
        </w:rPr>
        <w:t>La pertinencia</w:t>
      </w:r>
      <w:r w:rsidR="00F2635A">
        <w:rPr>
          <w:rFonts w:ascii="Bookman Old Style" w:hAnsi="Bookman Old Style"/>
        </w:rPr>
        <w:t xml:space="preserve"> del</w:t>
      </w:r>
      <w:r>
        <w:rPr>
          <w:rFonts w:ascii="Bookman Old Style" w:hAnsi="Bookman Old Style"/>
        </w:rPr>
        <w:t xml:space="preserve"> índice se evalúa en relación a su capacidad para mostrar diferencias entre grupos acerca de los cuales hay evidencia de inserción laboral diferencial. A ese efecto, se seleccionan tres vectores de desigualdad laboral: sexo, origen migratorio y región geográfica. El análisis se inicia con un modelo lineal simple sobre el primer índice definido y </w:t>
      </w:r>
      <w:r w:rsidR="00F2635A">
        <w:rPr>
          <w:rFonts w:ascii="Bookman Old Style" w:hAnsi="Bookman Old Style"/>
        </w:rPr>
        <w:t xml:space="preserve">las </w:t>
      </w:r>
      <w:r>
        <w:rPr>
          <w:rFonts w:ascii="Bookman Old Style" w:hAnsi="Bookman Old Style"/>
        </w:rPr>
        <w:t xml:space="preserve">dos correcciones </w:t>
      </w:r>
      <w:r w:rsidR="00F2635A">
        <w:rPr>
          <w:rFonts w:ascii="Bookman Old Style" w:hAnsi="Bookman Old Style"/>
        </w:rPr>
        <w:t>mencionadas (Box-Cox y PCA)</w:t>
      </w:r>
      <w:r>
        <w:rPr>
          <w:rFonts w:ascii="Bookman Old Style" w:hAnsi="Bookman Old Style"/>
        </w:rPr>
        <w:t>.</w:t>
      </w:r>
    </w:p>
    <w:p w:rsidR="001327DD" w:rsidRDefault="001327DD" w:rsidP="008969DD">
      <w:pPr>
        <w:spacing w:after="0"/>
        <w:rPr>
          <w:rFonts w:ascii="Bookman Old Style" w:hAnsi="Bookman Old Style"/>
        </w:rPr>
      </w:pPr>
    </w:p>
    <w:p w:rsidR="001327DD" w:rsidRDefault="001327DD" w:rsidP="008969DD">
      <w:pPr>
        <w:spacing w:after="0"/>
        <w:rPr>
          <w:rFonts w:ascii="Bookman Old Style" w:hAnsi="Bookman Old Style"/>
        </w:rPr>
      </w:pPr>
      <w:r>
        <w:rPr>
          <w:rFonts w:ascii="Bookman Old Style" w:hAnsi="Bookman Old Style"/>
        </w:rPr>
        <w:t>Los modelos tienen la forma</w:t>
      </w:r>
    </w:p>
    <w:p w:rsidR="001327DD" w:rsidRDefault="001327DD" w:rsidP="008969DD">
      <w:pPr>
        <w:spacing w:after="0"/>
        <w:rPr>
          <w:rFonts w:ascii="Bookman Old Style" w:hAnsi="Bookman Old Style"/>
        </w:rPr>
      </w:pPr>
      <w:r>
        <w:rPr>
          <w:rFonts w:ascii="Bookman Old Style" w:hAnsi="Bookman Old Style"/>
        </w:rPr>
        <w:t>Modelo 1</w:t>
      </w:r>
    </w:p>
    <w:p w:rsidR="001327DD" w:rsidRDefault="001327DD" w:rsidP="008969DD">
      <w:pPr>
        <w:spacing w:after="0"/>
        <w:rPr>
          <w:rFonts w:ascii="Bookman Old Style" w:hAnsi="Bookman Old Style"/>
        </w:rPr>
      </w:pPr>
      <w:r>
        <w:rPr>
          <w:rFonts w:ascii="Bookman Old Style" w:hAnsi="Bookman Old Style"/>
        </w:rPr>
        <w:t>IC= beta0+beta1*</w:t>
      </w:r>
      <w:r w:rsidRPr="001327DD">
        <w:rPr>
          <w:rFonts w:ascii="Bookman Old Style" w:hAnsi="Bookman Old Style"/>
        </w:rPr>
        <w:t>origen+</w:t>
      </w:r>
      <w:r>
        <w:rPr>
          <w:rFonts w:ascii="Bookman Old Style" w:hAnsi="Bookman Old Style"/>
        </w:rPr>
        <w:t>beta2*</w:t>
      </w:r>
      <w:r w:rsidRPr="001327DD">
        <w:rPr>
          <w:rFonts w:ascii="Bookman Old Style" w:hAnsi="Bookman Old Style"/>
        </w:rPr>
        <w:t>sexo+</w:t>
      </w:r>
      <w:r>
        <w:rPr>
          <w:rFonts w:ascii="Bookman Old Style" w:hAnsi="Bookman Old Style"/>
        </w:rPr>
        <w:t>beta3*</w:t>
      </w:r>
      <w:r w:rsidRPr="001327DD">
        <w:rPr>
          <w:rFonts w:ascii="Bookman Old Style" w:hAnsi="Bookman Old Style"/>
        </w:rPr>
        <w:t>region+</w:t>
      </w:r>
      <w:r>
        <w:rPr>
          <w:rFonts w:ascii="Bookman Old Style" w:hAnsi="Bookman Old Style"/>
        </w:rPr>
        <w:t>beta4*</w:t>
      </w:r>
      <w:proofErr w:type="spellStart"/>
      <w:r w:rsidRPr="001327DD">
        <w:rPr>
          <w:rFonts w:ascii="Bookman Old Style" w:hAnsi="Bookman Old Style"/>
        </w:rPr>
        <w:t>edad</w:t>
      </w:r>
      <w:r>
        <w:rPr>
          <w:rFonts w:ascii="Bookman Old Style" w:hAnsi="Bookman Old Style"/>
        </w:rPr>
        <w:t>+error</w:t>
      </w:r>
      <w:proofErr w:type="spellEnd"/>
      <w:r>
        <w:rPr>
          <w:rFonts w:ascii="Bookman Old Style" w:hAnsi="Bookman Old Style"/>
        </w:rPr>
        <w:t xml:space="preserve"> (original)</w:t>
      </w:r>
    </w:p>
    <w:p w:rsidR="001327DD" w:rsidRDefault="001327DD" w:rsidP="008969DD">
      <w:pPr>
        <w:spacing w:after="0"/>
        <w:rPr>
          <w:rFonts w:ascii="Bookman Old Style" w:hAnsi="Bookman Old Style"/>
        </w:rPr>
      </w:pPr>
      <w:r>
        <w:rPr>
          <w:rFonts w:ascii="Bookman Old Style" w:hAnsi="Bookman Old Style"/>
        </w:rPr>
        <w:t>Modelo 2</w:t>
      </w:r>
    </w:p>
    <w:p w:rsidR="001327DD" w:rsidRDefault="006E36D0" w:rsidP="008969DD">
      <w:pPr>
        <w:spacing w:after="0"/>
        <w:rPr>
          <w:rFonts w:ascii="Bookman Old Style" w:hAnsi="Bookman Old Style"/>
        </w:rPr>
      </w:pPr>
      <w:proofErr w:type="spellStart"/>
      <w:r>
        <w:rPr>
          <w:rFonts w:ascii="Bookman Old Style" w:hAnsi="Bookman Old Style"/>
        </w:rPr>
        <w:t>ICbc</w:t>
      </w:r>
      <w:proofErr w:type="spellEnd"/>
      <w:r>
        <w:rPr>
          <w:rFonts w:ascii="Bookman Old Style" w:hAnsi="Bookman Old Style"/>
        </w:rPr>
        <w:t xml:space="preserve"> </w:t>
      </w:r>
      <w:r w:rsidR="001327DD">
        <w:rPr>
          <w:rFonts w:ascii="Bookman Old Style" w:hAnsi="Bookman Old Style"/>
        </w:rPr>
        <w:t>= beta0+beta1*</w:t>
      </w:r>
      <w:r w:rsidR="001327DD" w:rsidRPr="001327DD">
        <w:rPr>
          <w:rFonts w:ascii="Bookman Old Style" w:hAnsi="Bookman Old Style"/>
        </w:rPr>
        <w:t>origen+</w:t>
      </w:r>
      <w:r w:rsidR="001327DD">
        <w:rPr>
          <w:rFonts w:ascii="Bookman Old Style" w:hAnsi="Bookman Old Style"/>
        </w:rPr>
        <w:t>beta2*</w:t>
      </w:r>
      <w:r w:rsidR="001327DD" w:rsidRPr="001327DD">
        <w:rPr>
          <w:rFonts w:ascii="Bookman Old Style" w:hAnsi="Bookman Old Style"/>
        </w:rPr>
        <w:t>sexo+</w:t>
      </w:r>
      <w:r w:rsidR="001327DD">
        <w:rPr>
          <w:rFonts w:ascii="Bookman Old Style" w:hAnsi="Bookman Old Style"/>
        </w:rPr>
        <w:t>beta3*</w:t>
      </w:r>
      <w:r w:rsidR="001327DD" w:rsidRPr="001327DD">
        <w:rPr>
          <w:rFonts w:ascii="Bookman Old Style" w:hAnsi="Bookman Old Style"/>
        </w:rPr>
        <w:t>region+</w:t>
      </w:r>
      <w:r w:rsidR="001327DD">
        <w:rPr>
          <w:rFonts w:ascii="Bookman Old Style" w:hAnsi="Bookman Old Style"/>
        </w:rPr>
        <w:t>beta4*</w:t>
      </w:r>
      <w:proofErr w:type="spellStart"/>
      <w:r w:rsidR="001327DD" w:rsidRPr="001327DD">
        <w:rPr>
          <w:rFonts w:ascii="Bookman Old Style" w:hAnsi="Bookman Old Style"/>
        </w:rPr>
        <w:t>edad</w:t>
      </w:r>
      <w:r w:rsidR="001327DD">
        <w:rPr>
          <w:rFonts w:ascii="Bookman Old Style" w:hAnsi="Bookman Old Style"/>
        </w:rPr>
        <w:t>+error</w:t>
      </w:r>
      <w:proofErr w:type="spellEnd"/>
      <w:r w:rsidR="001327DD">
        <w:rPr>
          <w:rFonts w:ascii="Bookman Old Style" w:hAnsi="Bookman Old Style"/>
        </w:rPr>
        <w:t xml:space="preserve"> (corrección de Box-Cox)</w:t>
      </w:r>
    </w:p>
    <w:p w:rsidR="001327DD" w:rsidRDefault="001327DD" w:rsidP="008969DD">
      <w:pPr>
        <w:spacing w:after="0"/>
        <w:rPr>
          <w:rFonts w:ascii="Bookman Old Style" w:hAnsi="Bookman Old Style"/>
        </w:rPr>
      </w:pPr>
      <w:r>
        <w:rPr>
          <w:rFonts w:ascii="Bookman Old Style" w:hAnsi="Bookman Old Style"/>
        </w:rPr>
        <w:t>Modelo 3</w:t>
      </w:r>
    </w:p>
    <w:p w:rsidR="001327DD" w:rsidRDefault="001327DD" w:rsidP="008969DD">
      <w:pPr>
        <w:spacing w:after="0"/>
        <w:rPr>
          <w:rFonts w:ascii="Bookman Old Style" w:hAnsi="Bookman Old Style"/>
        </w:rPr>
      </w:pPr>
      <w:r>
        <w:rPr>
          <w:rFonts w:ascii="Bookman Old Style" w:hAnsi="Bookman Old Style"/>
        </w:rPr>
        <w:t>IQ= beta0+beta1*</w:t>
      </w:r>
      <w:r w:rsidRPr="001327DD">
        <w:rPr>
          <w:rFonts w:ascii="Bookman Old Style" w:hAnsi="Bookman Old Style"/>
        </w:rPr>
        <w:t>origen+</w:t>
      </w:r>
      <w:r>
        <w:rPr>
          <w:rFonts w:ascii="Bookman Old Style" w:hAnsi="Bookman Old Style"/>
        </w:rPr>
        <w:t>beta2*</w:t>
      </w:r>
      <w:r w:rsidRPr="001327DD">
        <w:rPr>
          <w:rFonts w:ascii="Bookman Old Style" w:hAnsi="Bookman Old Style"/>
        </w:rPr>
        <w:t>sexo+</w:t>
      </w:r>
      <w:r>
        <w:rPr>
          <w:rFonts w:ascii="Bookman Old Style" w:hAnsi="Bookman Old Style"/>
        </w:rPr>
        <w:t>beta3*</w:t>
      </w:r>
      <w:r w:rsidRPr="001327DD">
        <w:rPr>
          <w:rFonts w:ascii="Bookman Old Style" w:hAnsi="Bookman Old Style"/>
        </w:rPr>
        <w:t>region+</w:t>
      </w:r>
      <w:r>
        <w:rPr>
          <w:rFonts w:ascii="Bookman Old Style" w:hAnsi="Bookman Old Style"/>
        </w:rPr>
        <w:t>beta4*</w:t>
      </w:r>
      <w:proofErr w:type="spellStart"/>
      <w:r w:rsidRPr="001327DD">
        <w:rPr>
          <w:rFonts w:ascii="Bookman Old Style" w:hAnsi="Bookman Old Style"/>
        </w:rPr>
        <w:t>edad</w:t>
      </w:r>
      <w:r>
        <w:rPr>
          <w:rFonts w:ascii="Bookman Old Style" w:hAnsi="Bookman Old Style"/>
        </w:rPr>
        <w:t>+error</w:t>
      </w:r>
      <w:proofErr w:type="spellEnd"/>
      <w:r>
        <w:rPr>
          <w:rFonts w:ascii="Bookman Old Style" w:hAnsi="Bookman Old Style"/>
        </w:rPr>
        <w:t xml:space="preserve"> (primera componente principal) </w:t>
      </w:r>
    </w:p>
    <w:p w:rsidR="001327DD" w:rsidRDefault="001327DD" w:rsidP="008969DD">
      <w:pPr>
        <w:spacing w:after="0"/>
        <w:rPr>
          <w:rFonts w:ascii="Bookman Old Style" w:hAnsi="Bookman Old Style"/>
        </w:rPr>
      </w:pPr>
    </w:p>
    <w:p w:rsidR="001327DD" w:rsidRDefault="001327DD" w:rsidP="008969DD">
      <w:pPr>
        <w:spacing w:after="0"/>
        <w:rPr>
          <w:rFonts w:ascii="Bookman Old Style" w:hAnsi="Bookman Old Style"/>
        </w:rPr>
      </w:pPr>
      <w:r>
        <w:rPr>
          <w:rFonts w:ascii="Bookman Old Style" w:hAnsi="Bookman Old Style"/>
        </w:rPr>
        <w:t>Los coeficientes generales de determinación resultan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1325"/>
        <w:gridCol w:w="1325"/>
      </w:tblGrid>
      <w:tr w:rsidR="00AC4D23" w:rsidRPr="00AC4D23" w:rsidTr="006E36D0">
        <w:trPr>
          <w:jc w:val="center"/>
        </w:trPr>
        <w:tc>
          <w:tcPr>
            <w:tcW w:w="1325" w:type="dxa"/>
            <w:tcBorders>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modelo 1</w:t>
            </w:r>
          </w:p>
        </w:tc>
        <w:tc>
          <w:tcPr>
            <w:tcW w:w="1325" w:type="dxa"/>
            <w:tcBorders>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modelo 2</w:t>
            </w:r>
          </w:p>
        </w:tc>
        <w:tc>
          <w:tcPr>
            <w:tcW w:w="1325" w:type="dxa"/>
            <w:tcBorders>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modelo 3</w:t>
            </w:r>
          </w:p>
        </w:tc>
      </w:tr>
      <w:tr w:rsidR="00AC4D23" w:rsidRPr="00AC4D23" w:rsidTr="006E36D0">
        <w:trPr>
          <w:jc w:val="center"/>
        </w:trPr>
        <w:tc>
          <w:tcPr>
            <w:tcW w:w="1325" w:type="dxa"/>
            <w:tcBorders>
              <w:top w:val="single" w:sz="4" w:space="0" w:color="auto"/>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0.044</w:t>
            </w:r>
          </w:p>
        </w:tc>
        <w:tc>
          <w:tcPr>
            <w:tcW w:w="1325" w:type="dxa"/>
            <w:tcBorders>
              <w:top w:val="single" w:sz="4" w:space="0" w:color="auto"/>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0.058</w:t>
            </w:r>
          </w:p>
        </w:tc>
        <w:tc>
          <w:tcPr>
            <w:tcW w:w="1325" w:type="dxa"/>
            <w:tcBorders>
              <w:top w:val="single" w:sz="4" w:space="0" w:color="auto"/>
              <w:bottom w:val="single" w:sz="4" w:space="0" w:color="auto"/>
            </w:tcBorders>
          </w:tcPr>
          <w:p w:rsidR="00AC4D23" w:rsidRPr="00AC4D23" w:rsidRDefault="00AC4D23" w:rsidP="006E36D0">
            <w:pPr>
              <w:jc w:val="center"/>
              <w:rPr>
                <w:rFonts w:ascii="Bookman Old Style" w:hAnsi="Bookman Old Style"/>
              </w:rPr>
            </w:pPr>
            <w:r w:rsidRPr="00AC4D23">
              <w:rPr>
                <w:rFonts w:ascii="Bookman Old Style" w:hAnsi="Bookman Old Style"/>
              </w:rPr>
              <w:t>0.022</w:t>
            </w:r>
          </w:p>
        </w:tc>
      </w:tr>
    </w:tbl>
    <w:p w:rsidR="001327DD" w:rsidRDefault="001327DD" w:rsidP="008969DD">
      <w:pPr>
        <w:spacing w:after="0"/>
        <w:rPr>
          <w:rFonts w:ascii="Bookman Old Style" w:hAnsi="Bookman Old Style"/>
        </w:rPr>
      </w:pPr>
    </w:p>
    <w:p w:rsidR="00AC4D23" w:rsidRDefault="00F2635A" w:rsidP="00690D84">
      <w:pPr>
        <w:spacing w:after="0"/>
        <w:jc w:val="both"/>
        <w:rPr>
          <w:rFonts w:ascii="Bookman Old Style" w:hAnsi="Bookman Old Style"/>
        </w:rPr>
      </w:pPr>
      <w:r>
        <w:rPr>
          <w:rFonts w:ascii="Bookman Old Style" w:hAnsi="Bookman Old Style"/>
        </w:rPr>
        <w:t>Que muestra que el mejor ajuste es logrado por el índice construido aditivamente y que incorpora la corrección de Box-Cox.</w:t>
      </w:r>
    </w:p>
    <w:p w:rsidR="00AC4D23" w:rsidRDefault="00AC4D23" w:rsidP="008969DD">
      <w:pPr>
        <w:spacing w:after="0"/>
        <w:rPr>
          <w:rFonts w:ascii="Bookman Old Style" w:hAnsi="Bookman Old Style"/>
        </w:rPr>
      </w:pPr>
    </w:p>
    <w:p w:rsidR="00AC4D23" w:rsidRDefault="00F2635A" w:rsidP="008969DD">
      <w:pPr>
        <w:spacing w:after="0"/>
        <w:rPr>
          <w:rFonts w:ascii="Bookman Old Style" w:hAnsi="Bookman Old Style"/>
        </w:rPr>
      </w:pPr>
      <w:r>
        <w:rPr>
          <w:rFonts w:ascii="Bookman Old Style" w:hAnsi="Bookman Old Style"/>
        </w:rPr>
        <w:t>L</w:t>
      </w:r>
      <w:r w:rsidR="00AC4D23">
        <w:rPr>
          <w:rFonts w:ascii="Bookman Old Style" w:hAnsi="Bookman Old Style"/>
        </w:rPr>
        <w:t xml:space="preserve">os coeficientes </w:t>
      </w:r>
      <w:r>
        <w:rPr>
          <w:rFonts w:ascii="Bookman Old Style" w:hAnsi="Bookman Old Style"/>
        </w:rPr>
        <w:t>de cada modelo son:</w:t>
      </w:r>
    </w:p>
    <w:p w:rsidR="00AC4D23" w:rsidRDefault="00AC4D23" w:rsidP="008969DD">
      <w:pPr>
        <w:spacing w:after="0"/>
        <w:rPr>
          <w:rFonts w:ascii="Bookman Old Style" w:hAnsi="Bookman Old Styl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1255"/>
        <w:gridCol w:w="1647"/>
        <w:gridCol w:w="1189"/>
      </w:tblGrid>
      <w:tr w:rsidR="00F2635A" w:rsidRPr="00AC4D23" w:rsidTr="006E36D0">
        <w:trPr>
          <w:jc w:val="center"/>
        </w:trPr>
        <w:tc>
          <w:tcPr>
            <w:tcW w:w="2210" w:type="dxa"/>
            <w:tcBorders>
              <w:bottom w:val="single" w:sz="4" w:space="0" w:color="auto"/>
            </w:tcBorders>
            <w:vAlign w:val="center"/>
          </w:tcPr>
          <w:p w:rsidR="00F2635A" w:rsidRPr="00AC4D23" w:rsidRDefault="00F2635A" w:rsidP="006E36D0">
            <w:pPr>
              <w:jc w:val="center"/>
              <w:rPr>
                <w:rFonts w:ascii="Bookman Old Style" w:hAnsi="Bookman Old Style"/>
              </w:rPr>
            </w:pPr>
            <w:r>
              <w:rPr>
                <w:rFonts w:ascii="Bookman Old Style" w:hAnsi="Bookman Old Style"/>
              </w:rPr>
              <w:t>coeficiente</w:t>
            </w:r>
          </w:p>
        </w:tc>
        <w:tc>
          <w:tcPr>
            <w:tcW w:w="1255" w:type="dxa"/>
            <w:tcBorders>
              <w:bottom w:val="single" w:sz="4" w:space="0" w:color="auto"/>
            </w:tcBorders>
            <w:vAlign w:val="center"/>
          </w:tcPr>
          <w:p w:rsidR="00F2635A" w:rsidRPr="00AC4D23" w:rsidRDefault="00F2635A" w:rsidP="006E36D0">
            <w:pPr>
              <w:jc w:val="center"/>
              <w:rPr>
                <w:rFonts w:ascii="Bookman Old Style" w:hAnsi="Bookman Old Style"/>
              </w:rPr>
            </w:pPr>
            <w:r w:rsidRPr="00AC4D23">
              <w:rPr>
                <w:rFonts w:ascii="Bookman Old Style" w:hAnsi="Bookman Old Style"/>
              </w:rPr>
              <w:t>modelo1</w:t>
            </w:r>
          </w:p>
        </w:tc>
        <w:tc>
          <w:tcPr>
            <w:tcW w:w="1647" w:type="dxa"/>
            <w:tcBorders>
              <w:bottom w:val="single" w:sz="4" w:space="0" w:color="auto"/>
            </w:tcBorders>
            <w:vAlign w:val="center"/>
          </w:tcPr>
          <w:p w:rsidR="00F2635A" w:rsidRPr="00AC4D23" w:rsidRDefault="00F2635A" w:rsidP="006E36D0">
            <w:pPr>
              <w:jc w:val="center"/>
              <w:rPr>
                <w:rFonts w:ascii="Bookman Old Style" w:hAnsi="Bookman Old Style"/>
              </w:rPr>
            </w:pPr>
            <w:r w:rsidRPr="00AC4D23">
              <w:rPr>
                <w:rFonts w:ascii="Bookman Old Style" w:hAnsi="Bookman Old Style"/>
              </w:rPr>
              <w:t>modelo2</w:t>
            </w:r>
          </w:p>
        </w:tc>
        <w:tc>
          <w:tcPr>
            <w:tcW w:w="1189" w:type="dxa"/>
            <w:tcBorders>
              <w:bottom w:val="single" w:sz="4" w:space="0" w:color="auto"/>
            </w:tcBorders>
            <w:vAlign w:val="center"/>
          </w:tcPr>
          <w:p w:rsidR="00F2635A" w:rsidRPr="00AC4D23" w:rsidRDefault="00F2635A" w:rsidP="006E36D0">
            <w:pPr>
              <w:jc w:val="center"/>
              <w:rPr>
                <w:rFonts w:ascii="Bookman Old Style" w:hAnsi="Bookman Old Style"/>
              </w:rPr>
            </w:pPr>
            <w:r w:rsidRPr="00AC4D23">
              <w:rPr>
                <w:rFonts w:ascii="Bookman Old Style" w:hAnsi="Bookman Old Style"/>
              </w:rPr>
              <w:t>modelo3</w:t>
            </w:r>
          </w:p>
        </w:tc>
      </w:tr>
      <w:tr w:rsidR="00F2635A" w:rsidRPr="00AC4D23" w:rsidTr="006E36D0">
        <w:trPr>
          <w:jc w:val="center"/>
        </w:trPr>
        <w:tc>
          <w:tcPr>
            <w:tcW w:w="2210" w:type="dxa"/>
            <w:tcBorders>
              <w:top w:val="single" w:sz="4" w:space="0" w:color="auto"/>
            </w:tcBorders>
            <w:vAlign w:val="center"/>
          </w:tcPr>
          <w:p w:rsidR="00F2635A" w:rsidRPr="00AC4D23" w:rsidRDefault="00F2635A" w:rsidP="006E36D0">
            <w:pPr>
              <w:rPr>
                <w:rFonts w:ascii="Bookman Old Style" w:hAnsi="Bookman Old Style"/>
              </w:rPr>
            </w:pPr>
            <w:r w:rsidRPr="00AC4D23">
              <w:rPr>
                <w:rFonts w:ascii="Bookman Old Style" w:hAnsi="Bookman Old Style"/>
              </w:rPr>
              <w:t>(</w:t>
            </w:r>
            <w:proofErr w:type="spellStart"/>
            <w:r w:rsidRPr="00AC4D23">
              <w:rPr>
                <w:rFonts w:ascii="Bookman Old Style" w:hAnsi="Bookman Old Style"/>
              </w:rPr>
              <w:t>Intercept</w:t>
            </w:r>
            <w:proofErr w:type="spellEnd"/>
            <w:r w:rsidRPr="00AC4D23">
              <w:rPr>
                <w:rFonts w:ascii="Bookman Old Style" w:hAnsi="Bookman Old Style"/>
              </w:rPr>
              <w:t>)</w:t>
            </w:r>
          </w:p>
        </w:tc>
        <w:tc>
          <w:tcPr>
            <w:tcW w:w="1255" w:type="dxa"/>
            <w:tcBorders>
              <w:top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46.513</w:t>
            </w:r>
          </w:p>
        </w:tc>
        <w:tc>
          <w:tcPr>
            <w:tcW w:w="1647" w:type="dxa"/>
            <w:tcBorders>
              <w:top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253880.576</w:t>
            </w:r>
          </w:p>
        </w:tc>
        <w:tc>
          <w:tcPr>
            <w:tcW w:w="1189" w:type="dxa"/>
            <w:tcBorders>
              <w:top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-6.069</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origenextranjeres</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-3.923</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-57470.520</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-10.482</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sexomujeres</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-1.007</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-23655.945</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4.076</w:t>
            </w:r>
          </w:p>
        </w:tc>
      </w:tr>
      <w:tr w:rsidR="00F2635A" w:rsidRPr="00AC4D23" w:rsidTr="006E36D0">
        <w:trPr>
          <w:jc w:val="center"/>
        </w:trPr>
        <w:tc>
          <w:tcPr>
            <w:tcW w:w="2210" w:type="dxa"/>
            <w:vAlign w:val="center"/>
          </w:tcPr>
          <w:p w:rsidR="00F2635A" w:rsidRPr="00AC4D23" w:rsidRDefault="00CF047F" w:rsidP="006E36D0">
            <w:pPr>
              <w:rPr>
                <w:rFonts w:ascii="Bookman Old Style" w:hAnsi="Bookman Old Style"/>
              </w:rPr>
            </w:pPr>
            <w:proofErr w:type="spellStart"/>
            <w:r>
              <w:rPr>
                <w:rFonts w:ascii="Bookman Old Style" w:hAnsi="Bookman Old Style"/>
              </w:rPr>
              <w:t>regionNOA</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-2.257</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-34768.221</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-7.490</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region</w:t>
            </w:r>
            <w:r w:rsidR="00CF047F">
              <w:rPr>
                <w:rFonts w:ascii="Bookman Old Style" w:hAnsi="Bookman Old Style"/>
              </w:rPr>
              <w:t>NEA</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-0.103</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-3698.615</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-2.960</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region</w:t>
            </w:r>
            <w:r w:rsidR="00CF047F">
              <w:rPr>
                <w:rFonts w:ascii="Bookman Old Style" w:hAnsi="Bookman Old Style"/>
              </w:rPr>
              <w:t>Cuyo</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-0.618</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-6168.478</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-3.077</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region</w:t>
            </w:r>
            <w:r w:rsidR="00CF047F">
              <w:rPr>
                <w:rFonts w:ascii="Bookman Old Style" w:hAnsi="Bookman Old Style"/>
              </w:rPr>
              <w:t>Pampeana</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-0.760</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-8736.469</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-3.976</w:t>
            </w:r>
          </w:p>
        </w:tc>
      </w:tr>
      <w:tr w:rsidR="00F2635A" w:rsidRPr="00AC4D23" w:rsidTr="006E36D0">
        <w:trPr>
          <w:jc w:val="center"/>
        </w:trPr>
        <w:tc>
          <w:tcPr>
            <w:tcW w:w="2210" w:type="dxa"/>
            <w:vAlign w:val="center"/>
          </w:tcPr>
          <w:p w:rsidR="00F2635A" w:rsidRPr="00AC4D23" w:rsidRDefault="00F2635A" w:rsidP="006E36D0">
            <w:pPr>
              <w:rPr>
                <w:rFonts w:ascii="Bookman Old Style" w:hAnsi="Bookman Old Style"/>
              </w:rPr>
            </w:pPr>
            <w:proofErr w:type="spellStart"/>
            <w:r w:rsidRPr="00AC4D23">
              <w:rPr>
                <w:rFonts w:ascii="Bookman Old Style" w:hAnsi="Bookman Old Style"/>
              </w:rPr>
              <w:t>region</w:t>
            </w:r>
            <w:r w:rsidR="00CF047F">
              <w:rPr>
                <w:rFonts w:ascii="Bookman Old Style" w:hAnsi="Bookman Old Style"/>
              </w:rPr>
              <w:t>Patagonica</w:t>
            </w:r>
            <w:proofErr w:type="spellEnd"/>
          </w:p>
        </w:tc>
        <w:tc>
          <w:tcPr>
            <w:tcW w:w="1255"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1.357</w:t>
            </w:r>
          </w:p>
        </w:tc>
        <w:tc>
          <w:tcPr>
            <w:tcW w:w="1647"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21846.067</w:t>
            </w:r>
          </w:p>
        </w:tc>
        <w:tc>
          <w:tcPr>
            <w:tcW w:w="1189" w:type="dxa"/>
            <w:vAlign w:val="center"/>
          </w:tcPr>
          <w:p w:rsidR="00F2635A" w:rsidRPr="00AC4D23" w:rsidRDefault="00F2635A" w:rsidP="006E36D0">
            <w:pPr>
              <w:jc w:val="right"/>
              <w:rPr>
                <w:rFonts w:ascii="Bookman Old Style" w:hAnsi="Bookman Old Style"/>
              </w:rPr>
            </w:pPr>
            <w:r w:rsidRPr="00AC4D23">
              <w:rPr>
                <w:rFonts w:ascii="Bookman Old Style" w:hAnsi="Bookman Old Style"/>
              </w:rPr>
              <w:t>3.003</w:t>
            </w:r>
          </w:p>
        </w:tc>
      </w:tr>
      <w:tr w:rsidR="00F2635A" w:rsidRPr="00AC4D23" w:rsidTr="006E36D0">
        <w:trPr>
          <w:jc w:val="center"/>
        </w:trPr>
        <w:tc>
          <w:tcPr>
            <w:tcW w:w="2210" w:type="dxa"/>
            <w:tcBorders>
              <w:bottom w:val="single" w:sz="4" w:space="0" w:color="auto"/>
            </w:tcBorders>
            <w:vAlign w:val="center"/>
          </w:tcPr>
          <w:p w:rsidR="00F2635A" w:rsidRPr="00AC4D23" w:rsidRDefault="00CF047F" w:rsidP="006E36D0">
            <w:pPr>
              <w:rPr>
                <w:rFonts w:ascii="Bookman Old Style" w:hAnsi="Bookman Old Style"/>
              </w:rPr>
            </w:pPr>
            <w:r w:rsidRPr="00AC4D23">
              <w:rPr>
                <w:rFonts w:ascii="Bookman Old Style" w:hAnsi="Bookman Old Style"/>
              </w:rPr>
              <w:t>E</w:t>
            </w:r>
            <w:r w:rsidR="00F2635A" w:rsidRPr="00AC4D23">
              <w:rPr>
                <w:rFonts w:ascii="Bookman Old Style" w:hAnsi="Bookman Old Style"/>
              </w:rPr>
              <w:t>dad</w:t>
            </w:r>
          </w:p>
        </w:tc>
        <w:tc>
          <w:tcPr>
            <w:tcW w:w="1255" w:type="dxa"/>
            <w:tcBorders>
              <w:bottom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0.158</w:t>
            </w:r>
          </w:p>
        </w:tc>
        <w:tc>
          <w:tcPr>
            <w:tcW w:w="1647" w:type="dxa"/>
            <w:tcBorders>
              <w:bottom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2649.184</w:t>
            </w:r>
          </w:p>
        </w:tc>
        <w:tc>
          <w:tcPr>
            <w:tcW w:w="1189" w:type="dxa"/>
            <w:tcBorders>
              <w:bottom w:val="single" w:sz="4" w:space="0" w:color="auto"/>
            </w:tcBorders>
            <w:vAlign w:val="center"/>
          </w:tcPr>
          <w:p w:rsidR="00F2635A" w:rsidRPr="00AC4D23" w:rsidRDefault="00F2635A" w:rsidP="006E36D0">
            <w:pPr>
              <w:jc w:val="right"/>
              <w:rPr>
                <w:rFonts w:ascii="Bookman Old Style" w:hAnsi="Bookman Old Style"/>
              </w:rPr>
            </w:pPr>
            <w:r w:rsidRPr="00AC4D23">
              <w:rPr>
                <w:rFonts w:ascii="Bookman Old Style" w:hAnsi="Bookman Old Style"/>
              </w:rPr>
              <w:t>0.174</w:t>
            </w:r>
          </w:p>
        </w:tc>
      </w:tr>
    </w:tbl>
    <w:p w:rsidR="00F2635A" w:rsidRDefault="00F2635A" w:rsidP="001327DD">
      <w:pPr>
        <w:spacing w:after="0"/>
        <w:rPr>
          <w:rFonts w:ascii="Bookman Old Style" w:hAnsi="Bookman Old Style"/>
        </w:rPr>
      </w:pPr>
    </w:p>
    <w:p w:rsidR="00F2635A" w:rsidRDefault="00F2635A" w:rsidP="00690D84">
      <w:pPr>
        <w:spacing w:after="0"/>
        <w:jc w:val="both"/>
        <w:rPr>
          <w:rFonts w:ascii="Bookman Old Style" w:hAnsi="Bookman Old Style"/>
        </w:rPr>
      </w:pPr>
      <w:r>
        <w:rPr>
          <w:rFonts w:ascii="Bookman Old Style" w:hAnsi="Bookman Old Style"/>
        </w:rPr>
        <w:t>El signo del coeficiente para el origen migratorio (categoría de referencia: nativos) es el esperado, que da cuenta de una peor calidad de la inserción laboral para los extranjeros.</w:t>
      </w:r>
    </w:p>
    <w:p w:rsidR="001327DD" w:rsidRDefault="00F2635A" w:rsidP="00690D84">
      <w:pPr>
        <w:spacing w:after="0"/>
        <w:jc w:val="both"/>
        <w:rPr>
          <w:rFonts w:ascii="Bookman Old Style" w:hAnsi="Bookman Old Style"/>
        </w:rPr>
      </w:pPr>
      <w:r>
        <w:rPr>
          <w:rFonts w:ascii="Bookman Old Style" w:hAnsi="Bookman Old Style"/>
        </w:rPr>
        <w:t xml:space="preserve">Con la variable sexo (categoría de referencia: varones) el signo es el esperado en los dos primeros modelos, pero el tercero indica </w:t>
      </w:r>
      <w:r w:rsidR="004A22F6">
        <w:rPr>
          <w:rFonts w:ascii="Bookman Old Style" w:hAnsi="Bookman Old Style"/>
        </w:rPr>
        <w:t>mejor condición para las mujeres, por lo que la</w:t>
      </w:r>
      <w:r w:rsidR="001327DD">
        <w:rPr>
          <w:rFonts w:ascii="Bookman Old Style" w:hAnsi="Bookman Old Style"/>
        </w:rPr>
        <w:t xml:space="preserve"> interpretación </w:t>
      </w:r>
      <w:r w:rsidR="004A22F6">
        <w:rPr>
          <w:rFonts w:ascii="Bookman Old Style" w:hAnsi="Bookman Old Style"/>
        </w:rPr>
        <w:t xml:space="preserve">de la primera componente de PCA </w:t>
      </w:r>
      <w:r w:rsidR="001327DD">
        <w:rPr>
          <w:rFonts w:ascii="Bookman Old Style" w:hAnsi="Bookman Old Style"/>
        </w:rPr>
        <w:t xml:space="preserve">falla al momento de observar las diferencias </w:t>
      </w:r>
      <w:r w:rsidR="004A22F6">
        <w:rPr>
          <w:rFonts w:ascii="Bookman Old Style" w:hAnsi="Bookman Old Style"/>
        </w:rPr>
        <w:t>entre varones y mujeres</w:t>
      </w:r>
      <w:r w:rsidR="001327DD">
        <w:rPr>
          <w:rFonts w:ascii="Bookman Old Style" w:hAnsi="Bookman Old Style"/>
        </w:rPr>
        <w:t>.</w:t>
      </w:r>
    </w:p>
    <w:p w:rsidR="00CF047F" w:rsidRDefault="00CF047F" w:rsidP="004A22F6">
      <w:pPr>
        <w:spacing w:after="0"/>
        <w:rPr>
          <w:rFonts w:ascii="Bookman Old Style" w:hAnsi="Bookman Old Style"/>
        </w:rPr>
      </w:pPr>
      <w:r>
        <w:rPr>
          <w:rFonts w:ascii="Bookman Old Style" w:hAnsi="Bookman Old Style"/>
        </w:rPr>
        <w:t>Entre las regiones (categoría de referencia: Gran Buenos Aires) los coeficientes son negativos, salvo para la Patagonia, aunque para NEA, Cuyo y Pampeana, la diferencia con Gran Buenos Aires no es significativa.</w:t>
      </w:r>
    </w:p>
    <w:p w:rsidR="00C365F4" w:rsidRDefault="00C365F4" w:rsidP="004A22F6">
      <w:pPr>
        <w:spacing w:after="0"/>
        <w:rPr>
          <w:rFonts w:ascii="Bookman Old Style" w:hAnsi="Bookman Old Style"/>
        </w:rPr>
      </w:pPr>
      <w:r>
        <w:rPr>
          <w:rFonts w:ascii="Bookman Old Style" w:hAnsi="Bookman Old Style"/>
        </w:rPr>
        <w:t xml:space="preserve">En razón de una mejor calidad del ajuste y de la obtención de coeficientes con los signos esperados, se opta por usar el índice calculado de manera aditiva con la corrección </w:t>
      </w:r>
      <w:r w:rsidR="008B2484">
        <w:rPr>
          <w:rFonts w:ascii="Bookman Old Style" w:hAnsi="Bookman Old Style"/>
        </w:rPr>
        <w:t>d</w:t>
      </w:r>
      <w:r>
        <w:rPr>
          <w:rFonts w:ascii="Bookman Old Style" w:hAnsi="Bookman Old Style"/>
        </w:rPr>
        <w:t>e</w:t>
      </w:r>
      <w:r w:rsidR="008B2484">
        <w:rPr>
          <w:rFonts w:ascii="Bookman Old Style" w:hAnsi="Bookman Old Style"/>
        </w:rPr>
        <w:t xml:space="preserve"> </w:t>
      </w:r>
      <w:r>
        <w:rPr>
          <w:rFonts w:ascii="Bookman Old Style" w:hAnsi="Bookman Old Style"/>
        </w:rPr>
        <w:t>Box-Cox, con lambda=3.19</w:t>
      </w:r>
    </w:p>
    <w:p w:rsidR="001327DD" w:rsidRDefault="001327DD" w:rsidP="001327DD">
      <w:pPr>
        <w:spacing w:after="0"/>
        <w:rPr>
          <w:rFonts w:ascii="Bookman Old Style" w:hAnsi="Bookman Old Style"/>
        </w:rPr>
      </w:pPr>
    </w:p>
    <w:p w:rsidR="00B74556" w:rsidRDefault="00B74556" w:rsidP="001327DD">
      <w:pPr>
        <w:spacing w:after="0"/>
        <w:rPr>
          <w:rFonts w:ascii="Bookman Old Style" w:hAnsi="Bookman Old Style"/>
        </w:rPr>
      </w:pPr>
      <w:r>
        <w:rPr>
          <w:rFonts w:ascii="Bookman Old Style" w:hAnsi="Bookman Old Style"/>
        </w:rPr>
        <w:t>Grado de segregación</w:t>
      </w:r>
    </w:p>
    <w:p w:rsidR="00B74556" w:rsidRDefault="00525D71" w:rsidP="00690D84">
      <w:pPr>
        <w:spacing w:after="0"/>
        <w:jc w:val="both"/>
        <w:rPr>
          <w:rFonts w:ascii="Bookman Old Style" w:hAnsi="Bookman Old Style"/>
        </w:rPr>
      </w:pPr>
      <w:r>
        <w:rPr>
          <w:rFonts w:ascii="Bookman Old Style" w:hAnsi="Bookman Old Style"/>
        </w:rPr>
        <w:t xml:space="preserve">Para evaluar la magnitud de las diferencias entre los grupos, se usa el criterio  de la </w:t>
      </w:r>
      <w:r w:rsidRPr="00525D71">
        <w:rPr>
          <w:rFonts w:ascii="Bookman Old Style" w:hAnsi="Bookman Old Style"/>
          <w:i/>
        </w:rPr>
        <w:t>brecha de remuneración por género</w:t>
      </w:r>
      <w:r>
        <w:rPr>
          <w:rFonts w:ascii="Bookman Old Style" w:hAnsi="Bookman Old Style"/>
        </w:rPr>
        <w:t xml:space="preserve"> (</w:t>
      </w:r>
      <w:proofErr w:type="spellStart"/>
      <w:r>
        <w:rPr>
          <w:rFonts w:ascii="Bookman Old Style" w:hAnsi="Bookman Old Style"/>
        </w:rPr>
        <w:t>gender</w:t>
      </w:r>
      <w:proofErr w:type="spellEnd"/>
      <w:r>
        <w:rPr>
          <w:rFonts w:ascii="Bookman Old Style" w:hAnsi="Bookman Old Style"/>
        </w:rPr>
        <w:t xml:space="preserve"> gap </w:t>
      </w:r>
      <w:proofErr w:type="spellStart"/>
      <w:r>
        <w:rPr>
          <w:rFonts w:ascii="Bookman Old Style" w:hAnsi="Bookman Old Style"/>
        </w:rPr>
        <w:t>pay</w:t>
      </w:r>
      <w:proofErr w:type="spellEnd"/>
      <w:r>
        <w:rPr>
          <w:rFonts w:ascii="Bookman Old Style" w:hAnsi="Bookman Old Style"/>
        </w:rPr>
        <w:t xml:space="preserve">, </w:t>
      </w:r>
      <w:r w:rsidRPr="00525D71">
        <w:rPr>
          <w:rFonts w:ascii="Bookman Old Style" w:hAnsi="Bookman Old Style"/>
          <w:sz w:val="18"/>
          <w:szCs w:val="18"/>
        </w:rPr>
        <w:t>https://reports.weforum.org/global-gender-gap-report-2020/appendix-b-the-global-gender-gap-index-methodology-and-technical-notes/</w:t>
      </w:r>
      <w:r>
        <w:rPr>
          <w:rFonts w:ascii="Bookman Old Style" w:hAnsi="Bookman Old Style"/>
        </w:rPr>
        <w:t>), que la define como la diferencia entre las medianas de los grupos dividida por la mediana del grupo más favorecido.</w:t>
      </w:r>
      <w:r w:rsidR="00553C79">
        <w:rPr>
          <w:rFonts w:ascii="Bookman Old Style" w:hAnsi="Bookman Old Style"/>
        </w:rPr>
        <w:t xml:space="preserve"> Con ese procedimiento se analiza la diferencia por sexos y por orígenes migratorios</w:t>
      </w:r>
      <w:r w:rsidR="00FD5415">
        <w:rPr>
          <w:rFonts w:ascii="Bookman Old Style" w:hAnsi="Bookman Old Style"/>
        </w:rPr>
        <w:t>. Las diferencias regionales se expresan con dos medidas: el gap del primero al último y una medida de la variabilidad, sintetizada en el coeficiente de variación de las medianas de cada región.</w:t>
      </w:r>
    </w:p>
    <w:p w:rsidR="00E15D17" w:rsidRDefault="00E15D17" w:rsidP="001327DD">
      <w:pPr>
        <w:spacing w:after="0"/>
        <w:rPr>
          <w:rFonts w:ascii="Bookman Old Style" w:hAnsi="Bookman Old Style"/>
        </w:rPr>
      </w:pPr>
    </w:p>
    <w:p w:rsidR="00763733" w:rsidRDefault="00763733" w:rsidP="001327DD">
      <w:pPr>
        <w:spacing w:after="0"/>
        <w:rPr>
          <w:rFonts w:ascii="Bookman Old Style" w:hAnsi="Bookman Old Style"/>
        </w:rPr>
      </w:pPr>
      <w:r>
        <w:rPr>
          <w:rFonts w:ascii="Bookman Old Style" w:hAnsi="Bookman Old Style"/>
        </w:rPr>
        <w:t>Aplicación</w:t>
      </w:r>
    </w:p>
    <w:p w:rsidR="00763733" w:rsidRDefault="00763733" w:rsidP="001327DD">
      <w:pPr>
        <w:spacing w:after="0"/>
        <w:rPr>
          <w:rFonts w:ascii="Bookman Old Style" w:hAnsi="Bookman Old Style"/>
        </w:rPr>
      </w:pPr>
      <w:r>
        <w:rPr>
          <w:rFonts w:ascii="Bookman Old Style" w:hAnsi="Bookman Old Style"/>
        </w:rPr>
        <w:t>El nivel de segregación por sex</w:t>
      </w:r>
      <w:r w:rsidR="003A4D21">
        <w:rPr>
          <w:rFonts w:ascii="Bookman Old Style" w:hAnsi="Bookman Old Style"/>
        </w:rPr>
        <w:t>os,</w:t>
      </w:r>
      <w:r>
        <w:rPr>
          <w:rFonts w:ascii="Bookman Old Style" w:hAnsi="Bookman Old Style"/>
        </w:rPr>
        <w:t xml:space="preserve"> orígenes</w:t>
      </w:r>
      <w:r w:rsidR="003A4D21">
        <w:rPr>
          <w:rFonts w:ascii="Bookman Old Style" w:hAnsi="Bookman Old Style"/>
        </w:rPr>
        <w:t xml:space="preserve"> y regiones</w:t>
      </w:r>
    </w:p>
    <w:p w:rsidR="00C66CAE" w:rsidRDefault="00763733" w:rsidP="00690D84">
      <w:pPr>
        <w:spacing w:after="0"/>
        <w:jc w:val="both"/>
        <w:rPr>
          <w:rFonts w:ascii="Bookman Old Style" w:hAnsi="Bookman Old Style"/>
        </w:rPr>
      </w:pPr>
      <w:r>
        <w:rPr>
          <w:rFonts w:ascii="Bookman Old Style" w:hAnsi="Bookman Old Style"/>
        </w:rPr>
        <w:t xml:space="preserve">Para todo el país, la prueba de </w:t>
      </w:r>
      <w:proofErr w:type="spellStart"/>
      <w:r>
        <w:rPr>
          <w:rFonts w:ascii="Bookman Old Style" w:hAnsi="Bookman Old Style"/>
        </w:rPr>
        <w:t>Wilcoxon</w:t>
      </w:r>
      <w:proofErr w:type="spellEnd"/>
      <w:r>
        <w:rPr>
          <w:rFonts w:ascii="Bookman Old Style" w:hAnsi="Bookman Old Style"/>
        </w:rPr>
        <w:t xml:space="preserve"> indica diferencias significativas entre los puntajes que alcanzan varones y mujeres. Las media</w:t>
      </w:r>
      <w:r w:rsidR="00E15D17">
        <w:rPr>
          <w:rFonts w:ascii="Bookman Old Style" w:hAnsi="Bookman Old Style"/>
        </w:rPr>
        <w:t>na</w:t>
      </w:r>
      <w:r>
        <w:rPr>
          <w:rFonts w:ascii="Bookman Old Style" w:hAnsi="Bookman Old Style"/>
        </w:rPr>
        <w:t xml:space="preserve">s son </w:t>
      </w:r>
      <w:r w:rsidR="00E15D17">
        <w:rPr>
          <w:rFonts w:ascii="Bookman Old Style" w:hAnsi="Bookman Old Style"/>
        </w:rPr>
        <w:t>25.1</w:t>
      </w:r>
      <w:r>
        <w:rPr>
          <w:rFonts w:ascii="Bookman Old Style" w:hAnsi="Bookman Old Style"/>
        </w:rPr>
        <w:t xml:space="preserve"> y </w:t>
      </w:r>
      <w:r w:rsidR="00E15D17">
        <w:rPr>
          <w:rFonts w:ascii="Bookman Old Style" w:hAnsi="Bookman Old Style"/>
        </w:rPr>
        <w:t>22.7</w:t>
      </w:r>
      <w:r>
        <w:rPr>
          <w:rFonts w:ascii="Bookman Old Style" w:hAnsi="Bookman Old Style"/>
        </w:rPr>
        <w:t xml:space="preserve"> respectivamente, con lo que </w:t>
      </w:r>
      <w:r w:rsidR="00E15D17">
        <w:rPr>
          <w:rFonts w:ascii="Bookman Old Style" w:hAnsi="Bookman Old Style"/>
        </w:rPr>
        <w:t>la brecha por sexos es de 9.8% en favor de los varones</w:t>
      </w:r>
      <w:r>
        <w:rPr>
          <w:rFonts w:ascii="Bookman Old Style" w:hAnsi="Bookman Old Style"/>
        </w:rPr>
        <w:t>.</w:t>
      </w:r>
      <w:r w:rsidR="00C66CAE">
        <w:rPr>
          <w:rFonts w:ascii="Bookman Old Style" w:hAnsi="Bookman Old Style"/>
        </w:rPr>
        <w:t xml:space="preserve"> </w:t>
      </w:r>
    </w:p>
    <w:p w:rsidR="00763733" w:rsidRDefault="006325F5" w:rsidP="003A4D21">
      <w:pPr>
        <w:spacing w:after="0"/>
        <w:jc w:val="center"/>
        <w:rPr>
          <w:rFonts w:ascii="Bookman Old Style" w:hAnsi="Bookman Old Style"/>
        </w:rPr>
      </w:pPr>
      <w:r>
        <w:rPr>
          <w:rFonts w:ascii="Bookman Old Style" w:hAnsi="Bookman Old Style"/>
          <w:noProof/>
          <w:lang w:eastAsia="es-AR"/>
        </w:rPr>
        <w:drawing>
          <wp:inline distT="0" distB="0" distL="0" distR="0">
            <wp:extent cx="3808800" cy="2350800"/>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_sexos.png"/>
                    <pic:cNvPicPr/>
                  </pic:nvPicPr>
                  <pic:blipFill>
                    <a:blip r:embed="rId8">
                      <a:extLst>
                        <a:ext uri="{28A0092B-C50C-407E-A947-70E740481C1C}">
                          <a14:useLocalDpi xmlns:a14="http://schemas.microsoft.com/office/drawing/2010/main" val="0"/>
                        </a:ext>
                      </a:extLst>
                    </a:blip>
                    <a:stretch>
                      <a:fillRect/>
                    </a:stretch>
                  </pic:blipFill>
                  <pic:spPr>
                    <a:xfrm>
                      <a:off x="0" y="0"/>
                      <a:ext cx="3808800" cy="2350800"/>
                    </a:xfrm>
                    <a:prstGeom prst="rect">
                      <a:avLst/>
                    </a:prstGeom>
                  </pic:spPr>
                </pic:pic>
              </a:graphicData>
            </a:graphic>
          </wp:inline>
        </w:drawing>
      </w:r>
    </w:p>
    <w:p w:rsidR="008A564F" w:rsidRDefault="008A564F" w:rsidP="001327DD">
      <w:pPr>
        <w:spacing w:after="0"/>
        <w:rPr>
          <w:rFonts w:ascii="Bookman Old Style" w:hAnsi="Bookman Old Style"/>
        </w:rPr>
      </w:pPr>
    </w:p>
    <w:p w:rsidR="008A564F" w:rsidRDefault="008A564F" w:rsidP="001327DD">
      <w:pPr>
        <w:spacing w:after="0"/>
        <w:rPr>
          <w:rFonts w:ascii="Bookman Old Style" w:hAnsi="Bookman Old Style"/>
        </w:rPr>
      </w:pPr>
    </w:p>
    <w:p w:rsidR="00763733" w:rsidRDefault="00C66CAE" w:rsidP="00690D84">
      <w:pPr>
        <w:spacing w:after="0"/>
        <w:jc w:val="both"/>
        <w:rPr>
          <w:rFonts w:ascii="Bookman Old Style" w:hAnsi="Bookman Old Style"/>
        </w:rPr>
      </w:pPr>
      <w:r>
        <w:rPr>
          <w:rFonts w:ascii="Bookman Old Style" w:hAnsi="Bookman Old Style"/>
        </w:rPr>
        <w:t xml:space="preserve">También </w:t>
      </w:r>
      <w:r w:rsidR="00761861">
        <w:rPr>
          <w:rFonts w:ascii="Bookman Old Style" w:hAnsi="Bookman Old Style"/>
        </w:rPr>
        <w:t xml:space="preserve">según la misma prueba, </w:t>
      </w:r>
      <w:r>
        <w:rPr>
          <w:rFonts w:ascii="Bookman Old Style" w:hAnsi="Bookman Old Style"/>
        </w:rPr>
        <w:t xml:space="preserve">es significativa la diferencia según orígenes: las personas nativas alcanzan un puntaje </w:t>
      </w:r>
      <w:r w:rsidR="00E15D17">
        <w:rPr>
          <w:rFonts w:ascii="Bookman Old Style" w:hAnsi="Bookman Old Style"/>
        </w:rPr>
        <w:t>mediano</w:t>
      </w:r>
      <w:r>
        <w:rPr>
          <w:rFonts w:ascii="Bookman Old Style" w:hAnsi="Bookman Old Style"/>
        </w:rPr>
        <w:t xml:space="preserve"> de </w:t>
      </w:r>
      <w:r w:rsidR="00E15D17">
        <w:rPr>
          <w:rFonts w:ascii="Bookman Old Style" w:hAnsi="Bookman Old Style"/>
        </w:rPr>
        <w:t xml:space="preserve">24.1 </w:t>
      </w:r>
      <w:r>
        <w:rPr>
          <w:rFonts w:ascii="Bookman Old Style" w:hAnsi="Bookman Old Style"/>
        </w:rPr>
        <w:t xml:space="preserve">contra un </w:t>
      </w:r>
      <w:r w:rsidRPr="00C66CAE">
        <w:rPr>
          <w:rFonts w:ascii="Bookman Old Style" w:hAnsi="Bookman Old Style"/>
        </w:rPr>
        <w:t>19.</w:t>
      </w:r>
      <w:r w:rsidR="00E15D17">
        <w:rPr>
          <w:rFonts w:ascii="Bookman Old Style" w:hAnsi="Bookman Old Style"/>
        </w:rPr>
        <w:t>5</w:t>
      </w:r>
      <w:r>
        <w:rPr>
          <w:rFonts w:ascii="Bookman Old Style" w:hAnsi="Bookman Old Style"/>
        </w:rPr>
        <w:t xml:space="preserve"> de las nacidas en otros países. Esta diferencia es más acentuada que la anterior y </w:t>
      </w:r>
      <w:r w:rsidR="00E15D17">
        <w:rPr>
          <w:rFonts w:ascii="Bookman Old Style" w:hAnsi="Bookman Old Style"/>
        </w:rPr>
        <w:t>llega al 18.9</w:t>
      </w:r>
      <w:r>
        <w:rPr>
          <w:rFonts w:ascii="Bookman Old Style" w:hAnsi="Bookman Old Style"/>
        </w:rPr>
        <w:t>%.</w:t>
      </w:r>
    </w:p>
    <w:p w:rsidR="00C66CAE" w:rsidRDefault="006325F5" w:rsidP="003A4D21">
      <w:pPr>
        <w:spacing w:after="0"/>
        <w:jc w:val="center"/>
        <w:rPr>
          <w:rFonts w:ascii="Bookman Old Style" w:hAnsi="Bookman Old Style"/>
        </w:rPr>
      </w:pPr>
      <w:r>
        <w:rPr>
          <w:rFonts w:ascii="Bookman Old Style" w:hAnsi="Bookman Old Style"/>
          <w:noProof/>
          <w:lang w:eastAsia="es-AR"/>
        </w:rPr>
        <w:drawing>
          <wp:inline distT="0" distB="0" distL="0" distR="0">
            <wp:extent cx="3808800" cy="2350800"/>
            <wp:effectExtent l="0" t="0" r="127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_origenes.png"/>
                    <pic:cNvPicPr/>
                  </pic:nvPicPr>
                  <pic:blipFill>
                    <a:blip r:embed="rId9">
                      <a:extLst>
                        <a:ext uri="{28A0092B-C50C-407E-A947-70E740481C1C}">
                          <a14:useLocalDpi xmlns:a14="http://schemas.microsoft.com/office/drawing/2010/main" val="0"/>
                        </a:ext>
                      </a:extLst>
                    </a:blip>
                    <a:stretch>
                      <a:fillRect/>
                    </a:stretch>
                  </pic:blipFill>
                  <pic:spPr>
                    <a:xfrm>
                      <a:off x="0" y="0"/>
                      <a:ext cx="3808800" cy="2350800"/>
                    </a:xfrm>
                    <a:prstGeom prst="rect">
                      <a:avLst/>
                    </a:prstGeom>
                  </pic:spPr>
                </pic:pic>
              </a:graphicData>
            </a:graphic>
          </wp:inline>
        </w:drawing>
      </w:r>
    </w:p>
    <w:p w:rsidR="00761861" w:rsidRDefault="00761861" w:rsidP="001327DD">
      <w:pPr>
        <w:spacing w:after="0"/>
        <w:rPr>
          <w:rFonts w:ascii="Bookman Old Style" w:hAnsi="Bookman Old Style"/>
          <w:sz w:val="26"/>
          <w:szCs w:val="26"/>
        </w:rPr>
      </w:pPr>
    </w:p>
    <w:p w:rsidR="00761861" w:rsidRDefault="00761861" w:rsidP="00690D84">
      <w:pPr>
        <w:spacing w:after="0"/>
        <w:jc w:val="both"/>
        <w:rPr>
          <w:rFonts w:ascii="Bookman Old Style" w:hAnsi="Bookman Old Style"/>
        </w:rPr>
      </w:pPr>
      <w:r w:rsidRPr="00761861">
        <w:rPr>
          <w:rFonts w:ascii="Bookman Old Style" w:hAnsi="Bookman Old Style"/>
        </w:rPr>
        <w:t>Un análisis de la varianza no paramétrico</w:t>
      </w:r>
      <w:r>
        <w:rPr>
          <w:rFonts w:ascii="Bookman Old Style" w:hAnsi="Bookman Old Style"/>
        </w:rPr>
        <w:t xml:space="preserve"> (prueba de </w:t>
      </w:r>
      <w:proofErr w:type="spellStart"/>
      <w:r>
        <w:rPr>
          <w:rFonts w:ascii="Bookman Old Style" w:hAnsi="Bookman Old Style"/>
        </w:rPr>
        <w:t>Kruskal</w:t>
      </w:r>
      <w:proofErr w:type="spellEnd"/>
      <w:r>
        <w:rPr>
          <w:rFonts w:ascii="Bookman Old Style" w:hAnsi="Bookman Old Style"/>
        </w:rPr>
        <w:t xml:space="preserve">-Wallis) aplicado sobre las regiones muestra las diferencias geográficas en el índice de calidad, con la región Patagónica en el primer lugar. </w:t>
      </w:r>
    </w:p>
    <w:p w:rsidR="00E15D17" w:rsidRDefault="00E15D17" w:rsidP="001327DD">
      <w:pPr>
        <w:spacing w:after="0"/>
        <w:rPr>
          <w:rFonts w:ascii="Bookman Old Style" w:hAnsi="Bookman Old Styl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2161"/>
      </w:tblGrid>
      <w:tr w:rsidR="00E15D17" w:rsidRPr="00E15D17" w:rsidTr="00E15D17">
        <w:trPr>
          <w:jc w:val="center"/>
        </w:trPr>
        <w:tc>
          <w:tcPr>
            <w:tcW w:w="2386" w:type="dxa"/>
            <w:tcBorders>
              <w:bottom w:val="single" w:sz="4" w:space="0" w:color="auto"/>
            </w:tcBorders>
          </w:tcPr>
          <w:p w:rsidR="00E15D17" w:rsidRPr="00E15D17" w:rsidRDefault="00E15D17" w:rsidP="00E15D17">
            <w:pPr>
              <w:jc w:val="center"/>
              <w:rPr>
                <w:rFonts w:ascii="Bookman Old Style" w:hAnsi="Bookman Old Style"/>
              </w:rPr>
            </w:pPr>
            <w:r>
              <w:rPr>
                <w:rFonts w:ascii="Bookman Old Style" w:hAnsi="Bookman Old Style"/>
              </w:rPr>
              <w:lastRenderedPageBreak/>
              <w:t>Región</w:t>
            </w:r>
          </w:p>
        </w:tc>
        <w:tc>
          <w:tcPr>
            <w:tcW w:w="2161" w:type="dxa"/>
            <w:tcBorders>
              <w:bottom w:val="single" w:sz="4" w:space="0" w:color="auto"/>
            </w:tcBorders>
          </w:tcPr>
          <w:p w:rsidR="00E15D17" w:rsidRPr="00E15D17" w:rsidRDefault="00E15D17" w:rsidP="00E15D17">
            <w:pPr>
              <w:jc w:val="center"/>
              <w:rPr>
                <w:rFonts w:ascii="Bookman Old Style" w:hAnsi="Bookman Old Style"/>
              </w:rPr>
            </w:pPr>
            <w:r>
              <w:rPr>
                <w:rFonts w:ascii="Bookman Old Style" w:hAnsi="Bookman Old Style"/>
              </w:rPr>
              <w:t>Puntaje mediano</w:t>
            </w:r>
          </w:p>
        </w:tc>
      </w:tr>
      <w:tr w:rsidR="00E15D17" w:rsidRPr="00E15D17" w:rsidTr="00E15D17">
        <w:trPr>
          <w:jc w:val="center"/>
        </w:trPr>
        <w:tc>
          <w:tcPr>
            <w:tcW w:w="2386" w:type="dxa"/>
            <w:tcBorders>
              <w:top w:val="single" w:sz="4" w:space="0" w:color="auto"/>
            </w:tcBorders>
            <w:vAlign w:val="center"/>
          </w:tcPr>
          <w:p w:rsidR="00E15D17" w:rsidRPr="00E15D17" w:rsidRDefault="00E15D17" w:rsidP="00E15D17">
            <w:pPr>
              <w:rPr>
                <w:rFonts w:ascii="Bookman Old Style" w:hAnsi="Bookman Old Style"/>
              </w:rPr>
            </w:pPr>
            <w:r w:rsidRPr="00E15D17">
              <w:rPr>
                <w:rFonts w:ascii="Bookman Old Style" w:hAnsi="Bookman Old Style"/>
              </w:rPr>
              <w:t>Patagónica</w:t>
            </w:r>
          </w:p>
        </w:tc>
        <w:tc>
          <w:tcPr>
            <w:tcW w:w="2161" w:type="dxa"/>
            <w:tcBorders>
              <w:top w:val="single" w:sz="4" w:space="0" w:color="auto"/>
            </w:tcBorders>
            <w:vAlign w:val="center"/>
          </w:tcPr>
          <w:p w:rsidR="00E15D17" w:rsidRPr="00E15D17" w:rsidRDefault="00E15D17" w:rsidP="00E15D17">
            <w:pPr>
              <w:jc w:val="right"/>
              <w:rPr>
                <w:rFonts w:ascii="Bookman Old Style" w:hAnsi="Bookman Old Style"/>
              </w:rPr>
            </w:pPr>
            <w:r w:rsidRPr="00E15D17">
              <w:rPr>
                <w:rFonts w:ascii="Bookman Old Style" w:hAnsi="Bookman Old Style"/>
              </w:rPr>
              <w:t>26.</w:t>
            </w:r>
            <w:r>
              <w:rPr>
                <w:rFonts w:ascii="Bookman Old Style" w:hAnsi="Bookman Old Style"/>
              </w:rPr>
              <w:t>80</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Gran Buenos Aires</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24.1</w:t>
            </w:r>
            <w:r>
              <w:rPr>
                <w:rFonts w:ascii="Bookman Old Style" w:hAnsi="Bookman Old Style"/>
              </w:rPr>
              <w:t>9</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Cuyo</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24.0</w:t>
            </w:r>
            <w:r>
              <w:rPr>
                <w:rFonts w:ascii="Bookman Old Style" w:hAnsi="Bookman Old Style"/>
              </w:rPr>
              <w:t>2</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Pampeana</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24.01</w:t>
            </w:r>
          </w:p>
        </w:tc>
      </w:tr>
      <w:tr w:rsidR="00E15D17" w:rsidRPr="00E15D17" w:rsidTr="00E15D17">
        <w:trPr>
          <w:jc w:val="center"/>
        </w:trPr>
        <w:tc>
          <w:tcPr>
            <w:tcW w:w="2386" w:type="dxa"/>
            <w:vAlign w:val="center"/>
          </w:tcPr>
          <w:p w:rsidR="00E15D17" w:rsidRPr="00E15D17" w:rsidRDefault="00E15D17" w:rsidP="00E15D17">
            <w:pPr>
              <w:rPr>
                <w:rFonts w:ascii="Bookman Old Style" w:hAnsi="Bookman Old Style"/>
              </w:rPr>
            </w:pPr>
            <w:r w:rsidRPr="00E15D17">
              <w:rPr>
                <w:rFonts w:ascii="Bookman Old Style" w:hAnsi="Bookman Old Style"/>
              </w:rPr>
              <w:t>NEA</w:t>
            </w:r>
          </w:p>
        </w:tc>
        <w:tc>
          <w:tcPr>
            <w:tcW w:w="2161" w:type="dxa"/>
            <w:vAlign w:val="center"/>
          </w:tcPr>
          <w:p w:rsidR="00E15D17" w:rsidRPr="00E15D17" w:rsidRDefault="00E15D17" w:rsidP="00E15D17">
            <w:pPr>
              <w:jc w:val="right"/>
              <w:rPr>
                <w:rFonts w:ascii="Bookman Old Style" w:hAnsi="Bookman Old Style"/>
              </w:rPr>
            </w:pPr>
            <w:r w:rsidRPr="00E15D17">
              <w:rPr>
                <w:rFonts w:ascii="Bookman Old Style" w:hAnsi="Bookman Old Style"/>
              </w:rPr>
              <w:t>23.9</w:t>
            </w:r>
            <w:r>
              <w:rPr>
                <w:rFonts w:ascii="Bookman Old Style" w:hAnsi="Bookman Old Style"/>
              </w:rPr>
              <w:t>6</w:t>
            </w:r>
          </w:p>
        </w:tc>
      </w:tr>
      <w:tr w:rsidR="00E15D17" w:rsidRPr="00E15D17" w:rsidTr="00E15D17">
        <w:trPr>
          <w:jc w:val="center"/>
        </w:trPr>
        <w:tc>
          <w:tcPr>
            <w:tcW w:w="2386" w:type="dxa"/>
            <w:tcBorders>
              <w:bottom w:val="single" w:sz="4" w:space="0" w:color="auto"/>
            </w:tcBorders>
            <w:vAlign w:val="center"/>
          </w:tcPr>
          <w:p w:rsidR="00E15D17" w:rsidRPr="00E15D17" w:rsidRDefault="00E15D17" w:rsidP="00E15D17">
            <w:pPr>
              <w:rPr>
                <w:rFonts w:ascii="Bookman Old Style" w:hAnsi="Bookman Old Style"/>
              </w:rPr>
            </w:pPr>
            <w:r w:rsidRPr="00E15D17">
              <w:rPr>
                <w:rFonts w:ascii="Bookman Old Style" w:hAnsi="Bookman Old Style"/>
              </w:rPr>
              <w:t>NOA</w:t>
            </w:r>
          </w:p>
        </w:tc>
        <w:tc>
          <w:tcPr>
            <w:tcW w:w="2161" w:type="dxa"/>
            <w:tcBorders>
              <w:bottom w:val="single" w:sz="4" w:space="0" w:color="auto"/>
            </w:tcBorders>
            <w:vAlign w:val="center"/>
          </w:tcPr>
          <w:p w:rsidR="00E15D17" w:rsidRPr="00E15D17" w:rsidRDefault="00E15D17" w:rsidP="00E15D17">
            <w:pPr>
              <w:jc w:val="right"/>
              <w:rPr>
                <w:rFonts w:ascii="Bookman Old Style" w:hAnsi="Bookman Old Style"/>
              </w:rPr>
            </w:pPr>
            <w:r w:rsidRPr="00E15D17">
              <w:rPr>
                <w:rFonts w:ascii="Bookman Old Style" w:hAnsi="Bookman Old Style"/>
              </w:rPr>
              <w:t>21.56</w:t>
            </w:r>
          </w:p>
        </w:tc>
      </w:tr>
    </w:tbl>
    <w:p w:rsidR="00761861" w:rsidRDefault="00761861" w:rsidP="001327DD">
      <w:pPr>
        <w:spacing w:after="0"/>
        <w:rPr>
          <w:rFonts w:ascii="Bookman Old Style" w:hAnsi="Bookman Old Style"/>
        </w:rPr>
      </w:pPr>
    </w:p>
    <w:p w:rsidR="00761861" w:rsidRDefault="00761861" w:rsidP="00690D84">
      <w:pPr>
        <w:spacing w:after="0"/>
        <w:jc w:val="both"/>
        <w:rPr>
          <w:rFonts w:ascii="Bookman Old Style" w:hAnsi="Bookman Old Style"/>
        </w:rPr>
      </w:pPr>
      <w:r>
        <w:rPr>
          <w:rFonts w:ascii="Bookman Old Style" w:hAnsi="Bookman Old Style"/>
        </w:rPr>
        <w:t>La diferencia relativa entre l</w:t>
      </w:r>
      <w:r w:rsidR="00EE40C4">
        <w:rPr>
          <w:rFonts w:ascii="Bookman Old Style" w:hAnsi="Bookman Old Style"/>
        </w:rPr>
        <w:t>as áreas en posiciones extremas, indica una brecha regional del 19.5</w:t>
      </w:r>
      <w:r>
        <w:rPr>
          <w:rFonts w:ascii="Bookman Old Style" w:hAnsi="Bookman Old Style"/>
        </w:rPr>
        <w:t>%</w:t>
      </w:r>
      <w:r w:rsidR="0021425D">
        <w:rPr>
          <w:rFonts w:ascii="Bookman Old Style" w:hAnsi="Bookman Old Style"/>
        </w:rPr>
        <w:t xml:space="preserve"> y un coeficiente de variación interregional de 6.88%</w:t>
      </w:r>
    </w:p>
    <w:p w:rsidR="00F06BA4" w:rsidRDefault="00F06BA4" w:rsidP="00761861">
      <w:pPr>
        <w:spacing w:after="0"/>
        <w:rPr>
          <w:rFonts w:ascii="Bookman Old Style" w:hAnsi="Bookman Old Style"/>
        </w:rPr>
      </w:pPr>
    </w:p>
    <w:p w:rsidR="00F06BA4" w:rsidRDefault="00F06BA4" w:rsidP="00F06BA4">
      <w:pPr>
        <w:spacing w:after="0"/>
        <w:jc w:val="center"/>
        <w:rPr>
          <w:rFonts w:ascii="Bookman Old Style" w:hAnsi="Bookman Old Style"/>
        </w:rPr>
      </w:pPr>
      <w:r>
        <w:rPr>
          <w:rFonts w:ascii="Bookman Old Style" w:hAnsi="Bookman Old Style"/>
          <w:noProof/>
          <w:lang w:eastAsia="es-AR"/>
        </w:rPr>
        <w:drawing>
          <wp:inline distT="0" distB="0" distL="0" distR="0">
            <wp:extent cx="4158000" cy="2505600"/>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_regiones.png"/>
                    <pic:cNvPicPr/>
                  </pic:nvPicPr>
                  <pic:blipFill>
                    <a:blip r:embed="rId10">
                      <a:extLst>
                        <a:ext uri="{28A0092B-C50C-407E-A947-70E740481C1C}">
                          <a14:useLocalDpi xmlns:a14="http://schemas.microsoft.com/office/drawing/2010/main" val="0"/>
                        </a:ext>
                      </a:extLst>
                    </a:blip>
                    <a:stretch>
                      <a:fillRect/>
                    </a:stretch>
                  </pic:blipFill>
                  <pic:spPr>
                    <a:xfrm>
                      <a:off x="0" y="0"/>
                      <a:ext cx="4158000" cy="2505600"/>
                    </a:xfrm>
                    <a:prstGeom prst="rect">
                      <a:avLst/>
                    </a:prstGeom>
                  </pic:spPr>
                </pic:pic>
              </a:graphicData>
            </a:graphic>
          </wp:inline>
        </w:drawing>
      </w:r>
    </w:p>
    <w:p w:rsidR="008A564F" w:rsidRPr="00761861" w:rsidRDefault="008A564F" w:rsidP="003A4D21">
      <w:pPr>
        <w:spacing w:after="0"/>
        <w:jc w:val="center"/>
        <w:rPr>
          <w:rFonts w:ascii="Bookman Old Style" w:hAnsi="Bookman Old Style"/>
        </w:rPr>
      </w:pPr>
    </w:p>
    <w:p w:rsidR="003A4D21" w:rsidRDefault="003A4D21" w:rsidP="001327DD">
      <w:pPr>
        <w:spacing w:after="0"/>
        <w:rPr>
          <w:rFonts w:ascii="Bookman Old Style" w:hAnsi="Bookman Old Style"/>
          <w:sz w:val="26"/>
          <w:szCs w:val="26"/>
        </w:rPr>
      </w:pPr>
    </w:p>
    <w:p w:rsidR="003A4D21" w:rsidRDefault="003A4D21" w:rsidP="00690D84">
      <w:pPr>
        <w:spacing w:after="0"/>
        <w:jc w:val="both"/>
        <w:rPr>
          <w:rFonts w:ascii="Bookman Old Style" w:hAnsi="Bookman Old Style"/>
        </w:rPr>
      </w:pPr>
      <w:r>
        <w:rPr>
          <w:rFonts w:ascii="Bookman Old Style" w:hAnsi="Bookman Old Style"/>
        </w:rPr>
        <w:t>Así, con este medio para evalu</w:t>
      </w:r>
      <w:bookmarkStart w:id="0" w:name="_GoBack"/>
      <w:bookmarkEnd w:id="0"/>
      <w:r>
        <w:rPr>
          <w:rFonts w:ascii="Bookman Old Style" w:hAnsi="Bookman Old Style"/>
        </w:rPr>
        <w:t>arla, la calidad de la inserción ocup</w:t>
      </w:r>
      <w:r w:rsidR="0021425D">
        <w:rPr>
          <w:rFonts w:ascii="Bookman Old Style" w:hAnsi="Bookman Old Style"/>
        </w:rPr>
        <w:t>acional de los varones resulta 9.8</w:t>
      </w:r>
      <w:r>
        <w:rPr>
          <w:rFonts w:ascii="Bookman Old Style" w:hAnsi="Bookman Old Style"/>
        </w:rPr>
        <w:t xml:space="preserve">% superior a la de las </w:t>
      </w:r>
      <w:r w:rsidR="0021425D">
        <w:rPr>
          <w:rFonts w:ascii="Bookman Old Style" w:hAnsi="Bookman Old Style"/>
        </w:rPr>
        <w:t>mujeres, la de los nativos 18.9</w:t>
      </w:r>
      <w:r>
        <w:rPr>
          <w:rFonts w:ascii="Bookman Old Style" w:hAnsi="Bookman Old Style"/>
        </w:rPr>
        <w:t>% superior a la de los extranjeros y la de los trabajadores r</w:t>
      </w:r>
      <w:r w:rsidR="0021425D">
        <w:rPr>
          <w:rFonts w:ascii="Bookman Old Style" w:hAnsi="Bookman Old Style"/>
        </w:rPr>
        <w:t>esidentes en la Patagonia, un 19.5</w:t>
      </w:r>
      <w:r>
        <w:rPr>
          <w:rFonts w:ascii="Bookman Old Style" w:hAnsi="Bookman Old Style"/>
        </w:rPr>
        <w:t>% más alta que la de quienes viven en el Noroeste del país</w:t>
      </w:r>
      <w:r w:rsidR="0021425D">
        <w:rPr>
          <w:rFonts w:ascii="Bookman Old Style" w:hAnsi="Bookman Old Style"/>
        </w:rPr>
        <w:t>, con una variabilidad interregional de 6.88%</w:t>
      </w:r>
      <w:r>
        <w:rPr>
          <w:rFonts w:ascii="Bookman Old Style" w:hAnsi="Bookman Old Style"/>
        </w:rPr>
        <w:t>.</w:t>
      </w:r>
      <w:r w:rsidR="005A2F50">
        <w:rPr>
          <w:rFonts w:ascii="Bookman Old Style" w:hAnsi="Bookman Old Style"/>
        </w:rPr>
        <w:t xml:space="preserve"> Esta</w:t>
      </w:r>
      <w:r w:rsidR="0021425D">
        <w:rPr>
          <w:rFonts w:ascii="Bookman Old Style" w:hAnsi="Bookman Old Style"/>
        </w:rPr>
        <w:t xml:space="preserve">s </w:t>
      </w:r>
      <w:r w:rsidR="005A2F50">
        <w:rPr>
          <w:rFonts w:ascii="Bookman Old Style" w:hAnsi="Bookman Old Style"/>
        </w:rPr>
        <w:t xml:space="preserve">cifras </w:t>
      </w:r>
      <w:r w:rsidR="0021425D">
        <w:rPr>
          <w:rFonts w:ascii="Bookman Old Style" w:hAnsi="Bookman Old Style"/>
        </w:rPr>
        <w:t>no pueden evaluarse en abstracto, porque se carece de valores de referencia, por el contrario, su interés está en reflejar diferencias entre áreas geográficas y a lo largo del tiempo.</w:t>
      </w:r>
    </w:p>
    <w:p w:rsidR="003A4D21" w:rsidRDefault="003A4D21" w:rsidP="001327DD">
      <w:pPr>
        <w:spacing w:after="0"/>
        <w:rPr>
          <w:rFonts w:ascii="Bookman Old Style" w:hAnsi="Bookman Old Style"/>
        </w:rPr>
      </w:pPr>
    </w:p>
    <w:p w:rsidR="00697EC1" w:rsidRPr="003A4D21" w:rsidRDefault="00697EC1" w:rsidP="001327DD">
      <w:pPr>
        <w:spacing w:after="0"/>
        <w:rPr>
          <w:rFonts w:ascii="Bookman Old Style" w:hAnsi="Bookman Old Style"/>
        </w:rPr>
      </w:pPr>
    </w:p>
    <w:p w:rsidR="00DB44CB" w:rsidRDefault="00DB44CB" w:rsidP="001327DD">
      <w:pPr>
        <w:spacing w:after="0"/>
        <w:rPr>
          <w:rFonts w:ascii="Bookman Old Style" w:hAnsi="Bookman Old Style"/>
          <w:sz w:val="26"/>
          <w:szCs w:val="26"/>
        </w:rPr>
      </w:pPr>
      <w:r w:rsidRPr="00DB44CB">
        <w:rPr>
          <w:rFonts w:ascii="Bookman Old Style" w:hAnsi="Bookman Old Style"/>
          <w:sz w:val="26"/>
          <w:szCs w:val="26"/>
        </w:rPr>
        <w:t>Las diferencias regionales en la discriminación</w:t>
      </w:r>
    </w:p>
    <w:p w:rsidR="0021425D" w:rsidRDefault="0021425D" w:rsidP="001327DD">
      <w:pPr>
        <w:spacing w:after="0"/>
        <w:rPr>
          <w:rFonts w:ascii="Bookman Old Style" w:hAnsi="Bookman Old Style"/>
          <w:sz w:val="26"/>
          <w:szCs w:val="26"/>
        </w:rPr>
      </w:pPr>
    </w:p>
    <w:tbl>
      <w:tblPr>
        <w:tblStyle w:val="Tablaconcuadrcula"/>
        <w:tblW w:w="0" w:type="auto"/>
        <w:tblLook w:val="04A0" w:firstRow="1" w:lastRow="0" w:firstColumn="1" w:lastColumn="0" w:noHBand="0" w:noVBand="1"/>
      </w:tblPr>
      <w:tblGrid>
        <w:gridCol w:w="2992"/>
        <w:gridCol w:w="2993"/>
        <w:gridCol w:w="2993"/>
      </w:tblGrid>
      <w:tr w:rsidR="00491FDA" w:rsidRPr="00491FDA" w:rsidTr="00491FDA">
        <w:tc>
          <w:tcPr>
            <w:tcW w:w="2992"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Región</w:t>
            </w:r>
          </w:p>
        </w:tc>
        <w:tc>
          <w:tcPr>
            <w:tcW w:w="2993"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brecha por sexos</w:t>
            </w:r>
          </w:p>
        </w:tc>
        <w:tc>
          <w:tcPr>
            <w:tcW w:w="2993"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brecha por orígenes</w:t>
            </w:r>
          </w:p>
        </w:tc>
      </w:tr>
      <w:tr w:rsidR="005A2F50" w:rsidRPr="00491FDA" w:rsidTr="00E75FD4">
        <w:tc>
          <w:tcPr>
            <w:tcW w:w="2992" w:type="dxa"/>
          </w:tcPr>
          <w:p w:rsidR="005A2F50" w:rsidRPr="00491FDA" w:rsidRDefault="005A2F50" w:rsidP="00E75FD4">
            <w:pPr>
              <w:rPr>
                <w:rFonts w:ascii="Bookman Old Style" w:hAnsi="Bookman Old Style"/>
                <w:sz w:val="26"/>
                <w:szCs w:val="26"/>
              </w:rPr>
            </w:pPr>
            <w:r>
              <w:rPr>
                <w:rFonts w:ascii="Bookman Old Style" w:hAnsi="Bookman Old Style"/>
                <w:sz w:val="26"/>
                <w:szCs w:val="26"/>
              </w:rPr>
              <w:t>NOA</w:t>
            </w:r>
          </w:p>
        </w:tc>
        <w:tc>
          <w:tcPr>
            <w:tcW w:w="2993" w:type="dxa"/>
          </w:tcPr>
          <w:p w:rsidR="005A2F50" w:rsidRPr="00491FDA" w:rsidRDefault="005A2F50" w:rsidP="00E75FD4">
            <w:pPr>
              <w:rPr>
                <w:rFonts w:ascii="Bookman Old Style" w:hAnsi="Bookman Old Style"/>
                <w:sz w:val="26"/>
                <w:szCs w:val="26"/>
              </w:rPr>
            </w:pPr>
            <w:r>
              <w:rPr>
                <w:rFonts w:ascii="Bookman Old Style" w:hAnsi="Bookman Old Style"/>
                <w:sz w:val="26"/>
                <w:szCs w:val="26"/>
              </w:rPr>
              <w:t>12.6</w:t>
            </w:r>
          </w:p>
        </w:tc>
        <w:tc>
          <w:tcPr>
            <w:tcW w:w="2993" w:type="dxa"/>
          </w:tcPr>
          <w:p w:rsidR="005A2F50" w:rsidRPr="00491FDA" w:rsidRDefault="005A2F50" w:rsidP="00E75FD4">
            <w:pPr>
              <w:rPr>
                <w:rFonts w:ascii="Bookman Old Style" w:hAnsi="Bookman Old Style"/>
                <w:sz w:val="26"/>
                <w:szCs w:val="26"/>
              </w:rPr>
            </w:pPr>
            <w:r>
              <w:rPr>
                <w:rFonts w:ascii="Bookman Old Style" w:hAnsi="Bookman Old Style"/>
                <w:sz w:val="26"/>
                <w:szCs w:val="26"/>
              </w:rPr>
              <w:t>34.6</w:t>
            </w:r>
          </w:p>
        </w:tc>
      </w:tr>
      <w:tr w:rsidR="00491FDA" w:rsidRPr="00491FDA" w:rsidTr="00491FDA">
        <w:tc>
          <w:tcPr>
            <w:tcW w:w="2992"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GBA</w:t>
            </w:r>
          </w:p>
        </w:tc>
        <w:tc>
          <w:tcPr>
            <w:tcW w:w="2993" w:type="dxa"/>
          </w:tcPr>
          <w:p w:rsidR="00491FDA" w:rsidRPr="00491FDA" w:rsidRDefault="00491FDA" w:rsidP="00C21785">
            <w:pPr>
              <w:rPr>
                <w:rFonts w:ascii="Bookman Old Style" w:hAnsi="Bookman Old Style"/>
                <w:sz w:val="26"/>
                <w:szCs w:val="26"/>
              </w:rPr>
            </w:pPr>
            <w:r w:rsidRPr="00491FDA">
              <w:rPr>
                <w:rFonts w:ascii="Bookman Old Style" w:hAnsi="Bookman Old Style"/>
                <w:sz w:val="26"/>
                <w:szCs w:val="26"/>
              </w:rPr>
              <w:t>11.5</w:t>
            </w:r>
          </w:p>
        </w:tc>
        <w:tc>
          <w:tcPr>
            <w:tcW w:w="2993" w:type="dxa"/>
          </w:tcPr>
          <w:p w:rsidR="00491FDA" w:rsidRPr="00491FDA" w:rsidRDefault="00491FDA" w:rsidP="00C21785">
            <w:pPr>
              <w:rPr>
                <w:rFonts w:ascii="Bookman Old Style" w:hAnsi="Bookman Old Style"/>
                <w:sz w:val="26"/>
                <w:szCs w:val="26"/>
              </w:rPr>
            </w:pPr>
            <w:r>
              <w:rPr>
                <w:rFonts w:ascii="Bookman Old Style" w:hAnsi="Bookman Old Style"/>
                <w:sz w:val="26"/>
                <w:szCs w:val="26"/>
              </w:rPr>
              <w:t>21.1</w:t>
            </w:r>
          </w:p>
        </w:tc>
      </w:tr>
      <w:tr w:rsidR="00491FDA" w:rsidRPr="00491FDA" w:rsidTr="00491FDA">
        <w:tc>
          <w:tcPr>
            <w:tcW w:w="2992" w:type="dxa"/>
          </w:tcPr>
          <w:p w:rsidR="00491FDA" w:rsidRPr="00491FDA" w:rsidRDefault="004C67A9" w:rsidP="00C21785">
            <w:pPr>
              <w:rPr>
                <w:rFonts w:ascii="Bookman Old Style" w:hAnsi="Bookman Old Style"/>
                <w:sz w:val="26"/>
                <w:szCs w:val="26"/>
              </w:rPr>
            </w:pPr>
            <w:r>
              <w:rPr>
                <w:rFonts w:ascii="Bookman Old Style" w:hAnsi="Bookman Old Style"/>
                <w:sz w:val="26"/>
                <w:szCs w:val="26"/>
              </w:rPr>
              <w:t>NEA</w:t>
            </w:r>
          </w:p>
        </w:tc>
        <w:tc>
          <w:tcPr>
            <w:tcW w:w="2993" w:type="dxa"/>
          </w:tcPr>
          <w:p w:rsidR="00491FDA" w:rsidRPr="00491FDA" w:rsidRDefault="004C67A9" w:rsidP="00C21785">
            <w:pPr>
              <w:rPr>
                <w:rFonts w:ascii="Bookman Old Style" w:hAnsi="Bookman Old Style"/>
                <w:sz w:val="26"/>
                <w:szCs w:val="26"/>
              </w:rPr>
            </w:pPr>
            <w:r>
              <w:rPr>
                <w:rFonts w:ascii="Bookman Old Style" w:hAnsi="Bookman Old Style"/>
                <w:sz w:val="26"/>
                <w:szCs w:val="26"/>
              </w:rPr>
              <w:t>2.5</w:t>
            </w:r>
          </w:p>
        </w:tc>
        <w:tc>
          <w:tcPr>
            <w:tcW w:w="2993" w:type="dxa"/>
          </w:tcPr>
          <w:p w:rsidR="00491FDA" w:rsidRPr="00491FDA" w:rsidRDefault="004C67A9" w:rsidP="00C21785">
            <w:pPr>
              <w:rPr>
                <w:rFonts w:ascii="Bookman Old Style" w:hAnsi="Bookman Old Style"/>
                <w:sz w:val="26"/>
                <w:szCs w:val="26"/>
              </w:rPr>
            </w:pPr>
            <w:r>
              <w:rPr>
                <w:rFonts w:ascii="Bookman Old Style" w:hAnsi="Bookman Old Style"/>
                <w:sz w:val="26"/>
                <w:szCs w:val="26"/>
              </w:rPr>
              <w:t>5.6</w:t>
            </w:r>
          </w:p>
        </w:tc>
      </w:tr>
      <w:tr w:rsidR="00491FDA" w:rsidRPr="00491FDA" w:rsidTr="00491FDA">
        <w:tc>
          <w:tcPr>
            <w:tcW w:w="2992"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Patagónica</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c>
          <w:tcPr>
            <w:tcW w:w="2993"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0.25</w:t>
            </w:r>
          </w:p>
        </w:tc>
      </w:tr>
      <w:tr w:rsidR="00491FDA" w:rsidRPr="00491FDA" w:rsidTr="00491FDA">
        <w:tc>
          <w:tcPr>
            <w:tcW w:w="2992"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Pampeana</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c>
          <w:tcPr>
            <w:tcW w:w="2993"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t>0.27</w:t>
            </w:r>
          </w:p>
        </w:tc>
      </w:tr>
      <w:tr w:rsidR="00491FDA" w:rsidRPr="00491FDA" w:rsidTr="00491FDA">
        <w:tc>
          <w:tcPr>
            <w:tcW w:w="2992" w:type="dxa"/>
          </w:tcPr>
          <w:p w:rsidR="00491FDA" w:rsidRPr="00491FDA" w:rsidRDefault="0074134B" w:rsidP="00C21785">
            <w:pPr>
              <w:rPr>
                <w:rFonts w:ascii="Bookman Old Style" w:hAnsi="Bookman Old Style"/>
                <w:sz w:val="26"/>
                <w:szCs w:val="26"/>
              </w:rPr>
            </w:pPr>
            <w:r>
              <w:rPr>
                <w:rFonts w:ascii="Bookman Old Style" w:hAnsi="Bookman Old Style"/>
                <w:sz w:val="26"/>
                <w:szCs w:val="26"/>
              </w:rPr>
              <w:lastRenderedPageBreak/>
              <w:t>Cuyo</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c>
          <w:tcPr>
            <w:tcW w:w="2993" w:type="dxa"/>
          </w:tcPr>
          <w:p w:rsidR="00491FDA" w:rsidRPr="00491FDA" w:rsidRDefault="00ED00AB" w:rsidP="00C21785">
            <w:pPr>
              <w:rPr>
                <w:rFonts w:ascii="Bookman Old Style" w:hAnsi="Bookman Old Style"/>
                <w:sz w:val="26"/>
                <w:szCs w:val="26"/>
              </w:rPr>
            </w:pPr>
            <w:r>
              <w:rPr>
                <w:rFonts w:ascii="Bookman Old Style" w:hAnsi="Bookman Old Style"/>
                <w:sz w:val="26"/>
                <w:szCs w:val="26"/>
              </w:rPr>
              <w:t>No apreciable</w:t>
            </w:r>
          </w:p>
        </w:tc>
      </w:tr>
    </w:tbl>
    <w:p w:rsidR="00491FDA" w:rsidRDefault="00491FDA" w:rsidP="00DB44CB">
      <w:pPr>
        <w:spacing w:after="0"/>
        <w:rPr>
          <w:rFonts w:ascii="Bookman Old Style" w:hAnsi="Bookman Old Style"/>
        </w:rPr>
      </w:pPr>
    </w:p>
    <w:p w:rsidR="00380426" w:rsidRDefault="00380426" w:rsidP="00DB44CB">
      <w:pPr>
        <w:spacing w:after="0"/>
        <w:rPr>
          <w:rFonts w:ascii="Bookman Old Style" w:hAnsi="Bookman Old Style"/>
        </w:rPr>
      </w:pPr>
    </w:p>
    <w:p w:rsidR="00380426" w:rsidRDefault="00380426" w:rsidP="00DB44CB">
      <w:pPr>
        <w:spacing w:after="0"/>
        <w:rPr>
          <w:rFonts w:ascii="Bookman Old Style" w:hAnsi="Bookman Old Style"/>
        </w:rPr>
      </w:pPr>
      <w:r w:rsidRPr="00380426">
        <w:rPr>
          <w:rFonts w:ascii="Bookman Old Style" w:hAnsi="Bookman Old Style"/>
          <w:highlight w:val="yellow"/>
        </w:rPr>
        <w:t>Replicación con datos EPH para 1-2010 y 1-2020</w:t>
      </w:r>
    </w:p>
    <w:sectPr w:rsidR="003804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Mono10-Regular">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963C6"/>
    <w:multiLevelType w:val="hybridMultilevel"/>
    <w:tmpl w:val="026C6AE6"/>
    <w:lvl w:ilvl="0" w:tplc="17A8C6F2">
      <w:start w:val="200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D2"/>
    <w:rsid w:val="00033C02"/>
    <w:rsid w:val="000743D2"/>
    <w:rsid w:val="000A7C2D"/>
    <w:rsid w:val="001327DD"/>
    <w:rsid w:val="00160D74"/>
    <w:rsid w:val="0017158B"/>
    <w:rsid w:val="0021425D"/>
    <w:rsid w:val="00256C36"/>
    <w:rsid w:val="002B464C"/>
    <w:rsid w:val="002F2F42"/>
    <w:rsid w:val="003555D2"/>
    <w:rsid w:val="00357521"/>
    <w:rsid w:val="00380426"/>
    <w:rsid w:val="003A4D21"/>
    <w:rsid w:val="003D31C4"/>
    <w:rsid w:val="00460F0C"/>
    <w:rsid w:val="00464E01"/>
    <w:rsid w:val="00473889"/>
    <w:rsid w:val="00491FDA"/>
    <w:rsid w:val="004A22F6"/>
    <w:rsid w:val="004C3FDD"/>
    <w:rsid w:val="004C67A9"/>
    <w:rsid w:val="004E1A98"/>
    <w:rsid w:val="005004E7"/>
    <w:rsid w:val="00525D71"/>
    <w:rsid w:val="005469F6"/>
    <w:rsid w:val="00553C79"/>
    <w:rsid w:val="005A2F50"/>
    <w:rsid w:val="005A7119"/>
    <w:rsid w:val="005F5183"/>
    <w:rsid w:val="005F5745"/>
    <w:rsid w:val="006325F5"/>
    <w:rsid w:val="00690D84"/>
    <w:rsid w:val="00697EC1"/>
    <w:rsid w:val="006B7B36"/>
    <w:rsid w:val="006C404D"/>
    <w:rsid w:val="006E36D0"/>
    <w:rsid w:val="00734804"/>
    <w:rsid w:val="0074134B"/>
    <w:rsid w:val="00750B20"/>
    <w:rsid w:val="0075612A"/>
    <w:rsid w:val="00761861"/>
    <w:rsid w:val="00763733"/>
    <w:rsid w:val="00795727"/>
    <w:rsid w:val="00864835"/>
    <w:rsid w:val="0086723F"/>
    <w:rsid w:val="00883D49"/>
    <w:rsid w:val="008969DD"/>
    <w:rsid w:val="008A564F"/>
    <w:rsid w:val="008B2484"/>
    <w:rsid w:val="008B51A2"/>
    <w:rsid w:val="009231C2"/>
    <w:rsid w:val="0095032A"/>
    <w:rsid w:val="00970A0B"/>
    <w:rsid w:val="00A40BA9"/>
    <w:rsid w:val="00A5083E"/>
    <w:rsid w:val="00A77060"/>
    <w:rsid w:val="00AC4D23"/>
    <w:rsid w:val="00AE362E"/>
    <w:rsid w:val="00B07BF9"/>
    <w:rsid w:val="00B156E4"/>
    <w:rsid w:val="00B408C6"/>
    <w:rsid w:val="00B42547"/>
    <w:rsid w:val="00B46D70"/>
    <w:rsid w:val="00B51334"/>
    <w:rsid w:val="00B60814"/>
    <w:rsid w:val="00B74556"/>
    <w:rsid w:val="00B95002"/>
    <w:rsid w:val="00BB6B57"/>
    <w:rsid w:val="00BD7138"/>
    <w:rsid w:val="00BD723E"/>
    <w:rsid w:val="00C21585"/>
    <w:rsid w:val="00C21785"/>
    <w:rsid w:val="00C2603C"/>
    <w:rsid w:val="00C365F4"/>
    <w:rsid w:val="00C3703C"/>
    <w:rsid w:val="00C65220"/>
    <w:rsid w:val="00C66CAE"/>
    <w:rsid w:val="00C73F54"/>
    <w:rsid w:val="00C8381C"/>
    <w:rsid w:val="00CA00A2"/>
    <w:rsid w:val="00CF047F"/>
    <w:rsid w:val="00CF3111"/>
    <w:rsid w:val="00D22013"/>
    <w:rsid w:val="00DB44CB"/>
    <w:rsid w:val="00DE42DA"/>
    <w:rsid w:val="00E070CE"/>
    <w:rsid w:val="00E15D17"/>
    <w:rsid w:val="00E54872"/>
    <w:rsid w:val="00ED00AB"/>
    <w:rsid w:val="00EE40C4"/>
    <w:rsid w:val="00F06BA4"/>
    <w:rsid w:val="00F23F3D"/>
    <w:rsid w:val="00F2635A"/>
    <w:rsid w:val="00F44158"/>
    <w:rsid w:val="00F64724"/>
    <w:rsid w:val="00F6477E"/>
    <w:rsid w:val="00F83FA6"/>
    <w:rsid w:val="00FD54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43D2"/>
    <w:rPr>
      <w:color w:val="0000FF" w:themeColor="hyperlink"/>
      <w:u w:val="single"/>
    </w:rPr>
  </w:style>
  <w:style w:type="character" w:customStyle="1" w:styleId="fontstyle01">
    <w:name w:val="fontstyle01"/>
    <w:basedOn w:val="Fuentedeprrafopredeter"/>
    <w:rsid w:val="00C8381C"/>
    <w:rPr>
      <w:rFonts w:ascii="LMMono10-Regular" w:hAnsi="LMMono10-Regular" w:hint="default"/>
      <w:b w:val="0"/>
      <w:bCs w:val="0"/>
      <w:i w:val="0"/>
      <w:iCs w:val="0"/>
      <w:color w:val="000000"/>
      <w:sz w:val="20"/>
      <w:szCs w:val="20"/>
    </w:rPr>
  </w:style>
  <w:style w:type="table" w:styleId="Tablaconcuadrcula">
    <w:name w:val="Table Grid"/>
    <w:basedOn w:val="Tablanormal"/>
    <w:uiPriority w:val="59"/>
    <w:rsid w:val="00C83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95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002"/>
    <w:rPr>
      <w:rFonts w:ascii="Tahoma" w:hAnsi="Tahoma" w:cs="Tahoma"/>
      <w:sz w:val="16"/>
      <w:szCs w:val="16"/>
    </w:rPr>
  </w:style>
  <w:style w:type="paragraph" w:styleId="HTMLconformatoprevio">
    <w:name w:val="HTML Preformatted"/>
    <w:basedOn w:val="Normal"/>
    <w:link w:val="HTMLconformatoprevioCar"/>
    <w:uiPriority w:val="99"/>
    <w:semiHidden/>
    <w:unhideWhenUsed/>
    <w:rsid w:val="00795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95727"/>
    <w:rPr>
      <w:rFonts w:ascii="Courier New" w:eastAsia="Times New Roman" w:hAnsi="Courier New" w:cs="Courier New"/>
      <w:sz w:val="20"/>
      <w:szCs w:val="20"/>
      <w:lang w:eastAsia="es-AR"/>
    </w:rPr>
  </w:style>
  <w:style w:type="paragraph" w:styleId="Prrafodelista">
    <w:name w:val="List Paragraph"/>
    <w:basedOn w:val="Normal"/>
    <w:uiPriority w:val="34"/>
    <w:qFormat/>
    <w:rsid w:val="006E36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43D2"/>
    <w:rPr>
      <w:color w:val="0000FF" w:themeColor="hyperlink"/>
      <w:u w:val="single"/>
    </w:rPr>
  </w:style>
  <w:style w:type="character" w:customStyle="1" w:styleId="fontstyle01">
    <w:name w:val="fontstyle01"/>
    <w:basedOn w:val="Fuentedeprrafopredeter"/>
    <w:rsid w:val="00C8381C"/>
    <w:rPr>
      <w:rFonts w:ascii="LMMono10-Regular" w:hAnsi="LMMono10-Regular" w:hint="default"/>
      <w:b w:val="0"/>
      <w:bCs w:val="0"/>
      <w:i w:val="0"/>
      <w:iCs w:val="0"/>
      <w:color w:val="000000"/>
      <w:sz w:val="20"/>
      <w:szCs w:val="20"/>
    </w:rPr>
  </w:style>
  <w:style w:type="table" w:styleId="Tablaconcuadrcula">
    <w:name w:val="Table Grid"/>
    <w:basedOn w:val="Tablanormal"/>
    <w:uiPriority w:val="59"/>
    <w:rsid w:val="00C83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95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002"/>
    <w:rPr>
      <w:rFonts w:ascii="Tahoma" w:hAnsi="Tahoma" w:cs="Tahoma"/>
      <w:sz w:val="16"/>
      <w:szCs w:val="16"/>
    </w:rPr>
  </w:style>
  <w:style w:type="paragraph" w:styleId="HTMLconformatoprevio">
    <w:name w:val="HTML Preformatted"/>
    <w:basedOn w:val="Normal"/>
    <w:link w:val="HTMLconformatoprevioCar"/>
    <w:uiPriority w:val="99"/>
    <w:semiHidden/>
    <w:unhideWhenUsed/>
    <w:rsid w:val="00795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95727"/>
    <w:rPr>
      <w:rFonts w:ascii="Courier New" w:eastAsia="Times New Roman" w:hAnsi="Courier New" w:cs="Courier New"/>
      <w:sz w:val="20"/>
      <w:szCs w:val="20"/>
      <w:lang w:eastAsia="es-AR"/>
    </w:rPr>
  </w:style>
  <w:style w:type="paragraph" w:styleId="Prrafodelista">
    <w:name w:val="List Paragraph"/>
    <w:basedOn w:val="Normal"/>
    <w:uiPriority w:val="34"/>
    <w:qFormat/>
    <w:rsid w:val="006E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21330">
      <w:bodyDiv w:val="1"/>
      <w:marLeft w:val="0"/>
      <w:marRight w:val="0"/>
      <w:marTop w:val="0"/>
      <w:marBottom w:val="0"/>
      <w:divBdr>
        <w:top w:val="none" w:sz="0" w:space="0" w:color="auto"/>
        <w:left w:val="none" w:sz="0" w:space="0" w:color="auto"/>
        <w:bottom w:val="none" w:sz="0" w:space="0" w:color="auto"/>
        <w:right w:val="none" w:sz="0" w:space="0" w:color="auto"/>
      </w:divBdr>
    </w:div>
    <w:div w:id="742720913">
      <w:bodyDiv w:val="1"/>
      <w:marLeft w:val="0"/>
      <w:marRight w:val="0"/>
      <w:marTop w:val="0"/>
      <w:marBottom w:val="0"/>
      <w:divBdr>
        <w:top w:val="none" w:sz="0" w:space="0" w:color="auto"/>
        <w:left w:val="none" w:sz="0" w:space="0" w:color="auto"/>
        <w:bottom w:val="none" w:sz="0" w:space="0" w:color="auto"/>
        <w:right w:val="none" w:sz="0" w:space="0" w:color="auto"/>
      </w:divBdr>
    </w:div>
    <w:div w:id="922690871">
      <w:bodyDiv w:val="1"/>
      <w:marLeft w:val="0"/>
      <w:marRight w:val="0"/>
      <w:marTop w:val="0"/>
      <w:marBottom w:val="0"/>
      <w:divBdr>
        <w:top w:val="none" w:sz="0" w:space="0" w:color="auto"/>
        <w:left w:val="none" w:sz="0" w:space="0" w:color="auto"/>
        <w:bottom w:val="none" w:sz="0" w:space="0" w:color="auto"/>
        <w:right w:val="none" w:sz="0" w:space="0" w:color="auto"/>
      </w:divBdr>
    </w:div>
    <w:div w:id="954795516">
      <w:bodyDiv w:val="1"/>
      <w:marLeft w:val="0"/>
      <w:marRight w:val="0"/>
      <w:marTop w:val="0"/>
      <w:marBottom w:val="0"/>
      <w:divBdr>
        <w:top w:val="none" w:sz="0" w:space="0" w:color="auto"/>
        <w:left w:val="none" w:sz="0" w:space="0" w:color="auto"/>
        <w:bottom w:val="none" w:sz="0" w:space="0" w:color="auto"/>
        <w:right w:val="none" w:sz="0" w:space="0" w:color="auto"/>
      </w:divBdr>
    </w:div>
    <w:div w:id="195632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3056</Words>
  <Characters>16813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2020-10-07T14:24:00Z</cp:lastPrinted>
  <dcterms:created xsi:type="dcterms:W3CDTF">2020-11-09T11:58:00Z</dcterms:created>
  <dcterms:modified xsi:type="dcterms:W3CDTF">2020-11-09T11:59:00Z</dcterms:modified>
</cp:coreProperties>
</file>