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Lucid Era Fieldbook Documentation</w:t>
      </w:r>
    </w:p>
    <w:p>
      <w:r>
        <w:t>Lucid Era Fieldbook is a mobile companion for my OSINT investigation workflow. Instead of building a generic school demo, I designed the app around the real process described in my Lucid Era Investigations framework: intake and scoping, lead collection, entity mapping, verification, and evidence preservation. The app gives me one place to create a case, define the essential question, track the primary subject, record publication thresholds, log raw leads, and capture entity notes that can later be promoted into verified findings. This makes the app useful for local accountability reporting and research rather than just satisfying a checklist.</w:t>
      </w:r>
    </w:p>
    <w:p>
      <w:r>
        <w:t>The application uses a multi-screen Jetpack Compose interface with Navigation Compose. The dashboard screen summarizes active work and reinforces the investigation workflow. The cases screen supports case intake and lists all active investigations. The case detail screen acts as the working file for a selected investigation, where I can add leads, record archive links, and create entity records. A separate archive lookup screen integrates a public web API from the Wayback Machine so I can check whether a source has already been archived before I analyze it. This aligns with my standard of preserving evidence first and reviewing it second.</w:t>
      </w:r>
    </w:p>
    <w:p>
      <w:r>
        <w:t>For architecture, I separated UI, state, data, and networking layers. Composables focus on presentation and user interaction. ViewModels manage screen state and launch coroutines for database and network operations, which keeps business logic out of the UI layer. Room is used as the persistence layer because this project needs structured CRUD operations across related data types: cases, leads, and entity profiles. The repository coordinates Room and the archive API so the rest of the app has a clean interface for local and remote data.</w:t>
      </w:r>
    </w:p>
    <w:p>
      <w:r>
        <w:t>ViewModel plays a key role in preventing data loss during configuration changes. If the device rotates or the activity is recreated, screen state is restored from the ViewModel rather than being lost inside individual composables. This is especially important for case detail data, archive lookups, and the overall workflow because investigation work often happens in longer sessions. One challenge was keeping the project small enough to finish while still making it feel authentic to my investigative practice. I solved that by focusing on a narrow but credible feature set: workflow-centered case management plus archive verification through a real public API.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