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8FEE7" w14:textId="77777777" w:rsidR="003B19A0" w:rsidRPr="003B19A0" w:rsidRDefault="003B19A0" w:rsidP="003B19A0">
      <w:p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kern w:val="0"/>
          <w14:ligatures w14:val="none"/>
        </w:rPr>
        <w:t>To optimize the presentation for a high-impact journal like TCAD, here are several targeted suggestions categorized by structure, clarity, and formatting:</w:t>
      </w:r>
    </w:p>
    <w:p w14:paraId="2E87BDFC" w14:textId="77777777" w:rsidR="003B19A0" w:rsidRPr="003B19A0" w:rsidRDefault="003B19A0" w:rsidP="003B19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19A0">
        <w:rPr>
          <w:rFonts w:ascii="Times New Roman" w:eastAsia="Times New Roman" w:hAnsi="Times New Roman" w:cs="Times New Roman"/>
          <w:b/>
          <w:bCs/>
          <w:kern w:val="0"/>
          <w:sz w:val="36"/>
          <w:szCs w:val="36"/>
          <w14:ligatures w14:val="none"/>
        </w:rPr>
        <w:t>1. Structural and Narrative Flow</w:t>
      </w:r>
    </w:p>
    <w:p w14:paraId="28902CC3" w14:textId="77777777" w:rsidR="003B19A0" w:rsidRPr="003B19A0" w:rsidRDefault="003B19A0" w:rsidP="003B19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Relocate "Related Work" (Currently Section V):</w:t>
      </w:r>
      <w:r w:rsidRPr="003B19A0">
        <w:rPr>
          <w:rFonts w:ascii="Times New Roman" w:eastAsia="Times New Roman" w:hAnsi="Times New Roman" w:cs="Times New Roman"/>
          <w:kern w:val="0"/>
          <w14:ligatures w14:val="none"/>
        </w:rPr>
        <w:t xml:space="preserve"> In TCAD, it is generally preferred to place Related Work early in the paper (typically as Section II or immediately following the background). Moving this section up will help frame your specific algorithmic departures from TELESABRE, DMapS, and standard SABRE </w:t>
      </w:r>
      <w:r w:rsidRPr="003B19A0">
        <w:rPr>
          <w:rFonts w:ascii="Times New Roman" w:eastAsia="Times New Roman" w:hAnsi="Times New Roman" w:cs="Times New Roman"/>
          <w:i/>
          <w:iCs/>
          <w:kern w:val="0"/>
          <w14:ligatures w14:val="none"/>
        </w:rPr>
        <w:t>before</w:t>
      </w:r>
      <w:r w:rsidRPr="003B19A0">
        <w:rPr>
          <w:rFonts w:ascii="Times New Roman" w:eastAsia="Times New Roman" w:hAnsi="Times New Roman" w:cs="Times New Roman"/>
          <w:kern w:val="0"/>
          <w14:ligatures w14:val="none"/>
        </w:rPr>
        <w:t xml:space="preserve"> the reader dives into the mechanics of dSABRE in Section III.</w:t>
      </w:r>
    </w:p>
    <w:p w14:paraId="3E1201DE" w14:textId="77777777" w:rsidR="003B19A0" w:rsidRPr="003B19A0" w:rsidRDefault="003B19A0" w:rsidP="003B19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Move the "Caveat on e-bit counting" (Currently in IV-F):</w:t>
      </w:r>
      <w:r w:rsidRPr="003B19A0">
        <w:rPr>
          <w:rFonts w:ascii="Times New Roman" w:eastAsia="Times New Roman" w:hAnsi="Times New Roman" w:cs="Times New Roman"/>
          <w:kern w:val="0"/>
          <w14:ligatures w14:val="none"/>
        </w:rPr>
        <w:t xml:space="preserve"> You currently explain the difference between qubit teleportation (dSABRE) and gate teleportation (</w:t>
      </w:r>
      <w:r w:rsidRPr="003B19A0">
        <w:rPr>
          <w:rFonts w:ascii="Courier New" w:eastAsia="Times New Roman" w:hAnsi="Courier New" w:cs="Courier New"/>
          <w:kern w:val="0"/>
          <w:sz w:val="20"/>
          <w:szCs w:val="20"/>
          <w14:ligatures w14:val="none"/>
        </w:rPr>
        <w:t>pytket-dqc</w:t>
      </w:r>
      <w:r w:rsidRPr="003B19A0">
        <w:rPr>
          <w:rFonts w:ascii="Times New Roman" w:eastAsia="Times New Roman" w:hAnsi="Times New Roman" w:cs="Times New Roman"/>
          <w:kern w:val="0"/>
          <w14:ligatures w14:val="none"/>
        </w:rPr>
        <w:t xml:space="preserve">) amortisation at the end of the scalability section. Because this fundamental difference in accounting applies to </w:t>
      </w:r>
      <w:r w:rsidRPr="003B19A0">
        <w:rPr>
          <w:rFonts w:ascii="Times New Roman" w:eastAsia="Times New Roman" w:hAnsi="Times New Roman" w:cs="Times New Roman"/>
          <w:i/>
          <w:iCs/>
          <w:kern w:val="0"/>
          <w14:ligatures w14:val="none"/>
        </w:rPr>
        <w:t>all</w:t>
      </w:r>
      <w:r w:rsidRPr="003B19A0">
        <w:rPr>
          <w:rFonts w:ascii="Times New Roman" w:eastAsia="Times New Roman" w:hAnsi="Times New Roman" w:cs="Times New Roman"/>
          <w:kern w:val="0"/>
          <w14:ligatures w14:val="none"/>
        </w:rPr>
        <w:t xml:space="preserve"> </w:t>
      </w:r>
      <w:r w:rsidRPr="003B19A0">
        <w:rPr>
          <w:rFonts w:ascii="Courier New" w:eastAsia="Times New Roman" w:hAnsi="Courier New" w:cs="Courier New"/>
          <w:kern w:val="0"/>
          <w:sz w:val="20"/>
          <w:szCs w:val="20"/>
          <w14:ligatures w14:val="none"/>
        </w:rPr>
        <w:t>pytket-dqc</w:t>
      </w:r>
      <w:r w:rsidRPr="003B19A0">
        <w:rPr>
          <w:rFonts w:ascii="Times New Roman" w:eastAsia="Times New Roman" w:hAnsi="Times New Roman" w:cs="Times New Roman"/>
          <w:kern w:val="0"/>
          <w14:ligatures w14:val="none"/>
        </w:rPr>
        <w:t xml:space="preserve"> comparisons in Tables IV, V, VI, and XI, this paragraph must be moved to </w:t>
      </w:r>
      <w:r w:rsidRPr="003B19A0">
        <w:rPr>
          <w:rFonts w:ascii="Times New Roman" w:eastAsia="Times New Roman" w:hAnsi="Times New Roman" w:cs="Times New Roman"/>
          <w:b/>
          <w:bCs/>
          <w:kern w:val="0"/>
          <w14:ligatures w14:val="none"/>
        </w:rPr>
        <w:t>Section IV-A (Setup)</w:t>
      </w:r>
      <w:r w:rsidRPr="003B19A0">
        <w:rPr>
          <w:rFonts w:ascii="Times New Roman" w:eastAsia="Times New Roman" w:hAnsi="Times New Roman" w:cs="Times New Roman"/>
          <w:kern w:val="0"/>
          <w14:ligatures w14:val="none"/>
        </w:rPr>
        <w:t xml:space="preserve"> under the Baselines or Metrics subsection. Readers need to know this before they look at the first results table.</w:t>
      </w:r>
    </w:p>
    <w:p w14:paraId="53DE70FF" w14:textId="77777777" w:rsidR="003B19A0" w:rsidRPr="003B19A0" w:rsidRDefault="003B19A0" w:rsidP="003B19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Consolidate Experimental Setup:</w:t>
      </w:r>
      <w:r w:rsidRPr="003B19A0">
        <w:rPr>
          <w:rFonts w:ascii="Times New Roman" w:eastAsia="Times New Roman" w:hAnsi="Times New Roman" w:cs="Times New Roman"/>
          <w:kern w:val="0"/>
          <w14:ligatures w14:val="none"/>
        </w:rPr>
        <w:t xml:space="preserve"> Section IV-D (SabreLayout-Based Initial Layout) contains a lot of methodological </w:t>
      </w:r>
      <w:proofErr w:type="gramStart"/>
      <w:r w:rsidRPr="003B19A0">
        <w:rPr>
          <w:rFonts w:ascii="Times New Roman" w:eastAsia="Times New Roman" w:hAnsi="Times New Roman" w:cs="Times New Roman"/>
          <w:kern w:val="0"/>
          <w14:ligatures w14:val="none"/>
        </w:rPr>
        <w:t>setup</w:t>
      </w:r>
      <w:proofErr w:type="gramEnd"/>
      <w:r w:rsidRPr="003B19A0">
        <w:rPr>
          <w:rFonts w:ascii="Times New Roman" w:eastAsia="Times New Roman" w:hAnsi="Times New Roman" w:cs="Times New Roman"/>
          <w:kern w:val="0"/>
          <w14:ligatures w14:val="none"/>
        </w:rPr>
        <w:t xml:space="preserve"> (corner-removal, fwd-bwd-fwd passes) that feels out of place coming </w:t>
      </w:r>
      <w:r w:rsidRPr="003B19A0">
        <w:rPr>
          <w:rFonts w:ascii="Times New Roman" w:eastAsia="Times New Roman" w:hAnsi="Times New Roman" w:cs="Times New Roman"/>
          <w:i/>
          <w:iCs/>
          <w:kern w:val="0"/>
          <w14:ligatures w14:val="none"/>
        </w:rPr>
        <w:t>after</w:t>
      </w:r>
      <w:r w:rsidRPr="003B19A0">
        <w:rPr>
          <w:rFonts w:ascii="Times New Roman" w:eastAsia="Times New Roman" w:hAnsi="Times New Roman" w:cs="Times New Roman"/>
          <w:kern w:val="0"/>
          <w14:ligatures w14:val="none"/>
        </w:rPr>
        <w:t xml:space="preserve"> the main results and ablation studies. Consider moving the qualitative explanations of the layout passes into Section III (as part of the dSABRE pipeline) or Section IV-A, so the reader fully understands the pipeline generating the results in Tables IV-VII.</w:t>
      </w:r>
    </w:p>
    <w:p w14:paraId="17A1CE31" w14:textId="77777777" w:rsidR="003B19A0" w:rsidRPr="003B19A0" w:rsidRDefault="003B19A0" w:rsidP="003B19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19A0">
        <w:rPr>
          <w:rFonts w:ascii="Times New Roman" w:eastAsia="Times New Roman" w:hAnsi="Times New Roman" w:cs="Times New Roman"/>
          <w:b/>
          <w:bCs/>
          <w:kern w:val="0"/>
          <w:sz w:val="36"/>
          <w:szCs w:val="36"/>
          <w14:ligatures w14:val="none"/>
        </w:rPr>
        <w:t>2. Clarity of Figures and Tables</w:t>
      </w:r>
    </w:p>
    <w:p w14:paraId="356FE254" w14:textId="77777777" w:rsidR="003B19A0" w:rsidRPr="003B19A0" w:rsidRDefault="003B19A0" w:rsidP="003B19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Simplify Figure 4:</w:t>
      </w:r>
      <w:r w:rsidRPr="003B19A0">
        <w:rPr>
          <w:rFonts w:ascii="Times New Roman" w:eastAsia="Times New Roman" w:hAnsi="Times New Roman" w:cs="Times New Roman"/>
          <w:kern w:val="0"/>
          <w14:ligatures w14:val="none"/>
        </w:rPr>
        <w:t xml:space="preserve"> This figure is doing a lot of heavy lifting and might be difficult to parse when shrunk to fit a single column in print. Consider splitting it into two distinct subfigures: (a) the core layout and routing candidates, and (b) a visual representation of the staging vs. hop-gain calculations. Alternatively, explicitly tie the visual markers (A, B, C) to Table I in the caption to ensure readers look at them side-by-side.</w:t>
      </w:r>
    </w:p>
    <w:p w14:paraId="204A70A8" w14:textId="77777777" w:rsidR="003B19A0" w:rsidRPr="003B19A0" w:rsidRDefault="003B19A0" w:rsidP="003B19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Table Notations:</w:t>
      </w:r>
      <w:r w:rsidRPr="003B19A0">
        <w:rPr>
          <w:rFonts w:ascii="Times New Roman" w:eastAsia="Times New Roman" w:hAnsi="Times New Roman" w:cs="Times New Roman"/>
          <w:kern w:val="0"/>
          <w14:ligatures w14:val="none"/>
        </w:rPr>
        <w:t xml:space="preserve"> In Tables IV, V, and VI, you use $\Delta$EPR (%). Make it explicitly clear in the table headers whether a negative percentage means an </w:t>
      </w:r>
      <w:r w:rsidRPr="003B19A0">
        <w:rPr>
          <w:rFonts w:ascii="Times New Roman" w:eastAsia="Times New Roman" w:hAnsi="Times New Roman" w:cs="Times New Roman"/>
          <w:i/>
          <w:iCs/>
          <w:kern w:val="0"/>
          <w14:ligatures w14:val="none"/>
        </w:rPr>
        <w:t>improvement</w:t>
      </w:r>
      <w:r w:rsidRPr="003B19A0">
        <w:rPr>
          <w:rFonts w:ascii="Times New Roman" w:eastAsia="Times New Roman" w:hAnsi="Times New Roman" w:cs="Times New Roman"/>
          <w:kern w:val="0"/>
          <w14:ligatures w14:val="none"/>
        </w:rPr>
        <w:t xml:space="preserve"> (reduction in cost). While "lower is better" is standard, stating "Negative values indicate a reduction in EPR cost by dSABRE" prevents any misinterpretation.</w:t>
      </w:r>
    </w:p>
    <w:p w14:paraId="62D0A316" w14:textId="77777777" w:rsidR="003B19A0" w:rsidRPr="003B19A0" w:rsidRDefault="003B19A0" w:rsidP="003B19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Highlighting Failures:</w:t>
      </w:r>
      <w:r w:rsidRPr="003B19A0">
        <w:rPr>
          <w:rFonts w:ascii="Times New Roman" w:eastAsia="Times New Roman" w:hAnsi="Times New Roman" w:cs="Times New Roman"/>
          <w:kern w:val="0"/>
          <w14:ligatures w14:val="none"/>
        </w:rPr>
        <w:t xml:space="preserve"> It is excellent practice that you highlight the regression on GHZ circuits (due to the single control wire interacting with all targets). You might want to briefly mention this trade-off in the abstract or introduction. Acknowledging structural limitations directly in the intro boosts the credibility of the heuristic design.</w:t>
      </w:r>
    </w:p>
    <w:p w14:paraId="157A91D5" w14:textId="0ED2B13F" w:rsidR="003B19A0" w:rsidRPr="003B19A0" w:rsidRDefault="003B19A0" w:rsidP="00FE5D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19A0">
        <w:rPr>
          <w:rFonts w:ascii="Times New Roman" w:eastAsia="Times New Roman" w:hAnsi="Times New Roman" w:cs="Times New Roman"/>
          <w:b/>
          <w:bCs/>
          <w:kern w:val="0"/>
          <w:sz w:val="36"/>
          <w:szCs w:val="36"/>
          <w14:ligatures w14:val="none"/>
        </w:rPr>
        <w:t>3. TCAD-Specific Nuances</w:t>
      </w:r>
    </w:p>
    <w:p w14:paraId="1A395081" w14:textId="77777777" w:rsidR="003B19A0" w:rsidRPr="003B19A0" w:rsidRDefault="003B19A0" w:rsidP="003B19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t>Algorithm 1 Variables:</w:t>
      </w:r>
      <w:r w:rsidRPr="003B19A0">
        <w:rPr>
          <w:rFonts w:ascii="Times New Roman" w:eastAsia="Times New Roman" w:hAnsi="Times New Roman" w:cs="Times New Roman"/>
          <w:kern w:val="0"/>
          <w14:ligatures w14:val="none"/>
        </w:rPr>
        <w:t xml:space="preserve"> Ensure that variables like $L_{\text{deadlock</w:t>
      </w:r>
      <w:proofErr w:type="gramStart"/>
      <w:r w:rsidRPr="003B19A0">
        <w:rPr>
          <w:rFonts w:ascii="Times New Roman" w:eastAsia="Times New Roman" w:hAnsi="Times New Roman" w:cs="Times New Roman"/>
          <w:kern w:val="0"/>
          <w14:ligatures w14:val="none"/>
        </w:rPr>
        <w:t>}}$</w:t>
      </w:r>
      <w:proofErr w:type="gramEnd"/>
      <w:r w:rsidRPr="003B19A0">
        <w:rPr>
          <w:rFonts w:ascii="Times New Roman" w:eastAsia="Times New Roman" w:hAnsi="Times New Roman" w:cs="Times New Roman"/>
          <w:kern w:val="0"/>
          <w14:ligatures w14:val="none"/>
        </w:rPr>
        <w:t xml:space="preserve"> and $N_{\text{backup}}^{\max}$ are strictly defined in the text immediately before Algorithm 1. Currently, they are introduced in the text in Section III-A, but a brief comment in the pseudocode mapping them to their default values (e.g., </w:t>
      </w:r>
      <w:r w:rsidRPr="003B19A0">
        <w:rPr>
          <w:rFonts w:ascii="Courier New" w:eastAsia="Times New Roman" w:hAnsi="Courier New" w:cs="Courier New"/>
          <w:kern w:val="0"/>
          <w:sz w:val="20"/>
          <w:szCs w:val="20"/>
          <w14:ligatures w14:val="none"/>
        </w:rPr>
        <w:t>// Max stalled iterations (default 50)</w:t>
      </w:r>
      <w:r w:rsidRPr="003B19A0">
        <w:rPr>
          <w:rFonts w:ascii="Times New Roman" w:eastAsia="Times New Roman" w:hAnsi="Times New Roman" w:cs="Times New Roman"/>
          <w:kern w:val="0"/>
          <w14:ligatures w14:val="none"/>
        </w:rPr>
        <w:t>) would make the algorithm block more self-contained.</w:t>
      </w:r>
    </w:p>
    <w:p w14:paraId="6ABA36F3" w14:textId="0CBE1BE8" w:rsidR="003B19A0" w:rsidRPr="003B19A0" w:rsidRDefault="003B19A0" w:rsidP="003B19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B19A0">
        <w:rPr>
          <w:rFonts w:ascii="Times New Roman" w:eastAsia="Times New Roman" w:hAnsi="Times New Roman" w:cs="Times New Roman"/>
          <w:b/>
          <w:bCs/>
          <w:kern w:val="0"/>
          <w14:ligatures w14:val="none"/>
        </w:rPr>
        <w:lastRenderedPageBreak/>
        <w:t>Complexity Analysis (Section III-G):</w:t>
      </w:r>
      <w:r w:rsidRPr="003B19A0">
        <w:rPr>
          <w:rFonts w:ascii="Times New Roman" w:eastAsia="Times New Roman" w:hAnsi="Times New Roman" w:cs="Times New Roman"/>
          <w:kern w:val="0"/>
          <w14:ligatures w14:val="none"/>
        </w:rPr>
        <w:t xml:space="preserve"> TCAD reviewers often scrutinize complexity. Equation 4 derives $O(N\sqrt{P} \cdot </w:t>
      </w:r>
      <w:proofErr w:type="gramStart"/>
      <w:r w:rsidRPr="003B19A0">
        <w:rPr>
          <w:rFonts w:ascii="Times New Roman" w:eastAsia="Times New Roman" w:hAnsi="Times New Roman" w:cs="Times New Roman"/>
          <w:kern w:val="0"/>
          <w14:ligatures w14:val="none"/>
        </w:rPr>
        <w:t>Mn)$</w:t>
      </w:r>
      <w:proofErr w:type="gramEnd"/>
      <w:r w:rsidRPr="003B19A0">
        <w:rPr>
          <w:rFonts w:ascii="Times New Roman" w:eastAsia="Times New Roman" w:hAnsi="Times New Roman" w:cs="Times New Roman"/>
          <w:kern w:val="0"/>
          <w14:ligatures w14:val="none"/>
        </w:rPr>
        <w:t>. It would be helpful to explicitly state the empirical worst-case runtime observed for the 360q QFT circuit directly in this section to anchor the theoretical complexity to a practical wall-clock time, tying it back to the results in Section IV-F.</w:t>
      </w:r>
    </w:p>
    <w:p w14:paraId="60330229" w14:textId="77777777" w:rsidR="00576564" w:rsidRPr="003B19A0" w:rsidRDefault="00576564" w:rsidP="003B19A0"/>
    <w:sectPr w:rsidR="00576564" w:rsidRPr="003B1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262E8"/>
    <w:multiLevelType w:val="multilevel"/>
    <w:tmpl w:val="7564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D5378"/>
    <w:multiLevelType w:val="multilevel"/>
    <w:tmpl w:val="AD5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01987"/>
    <w:multiLevelType w:val="multilevel"/>
    <w:tmpl w:val="205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E3E26"/>
    <w:multiLevelType w:val="multilevel"/>
    <w:tmpl w:val="EED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155C1"/>
    <w:multiLevelType w:val="multilevel"/>
    <w:tmpl w:val="1C12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572920"/>
    <w:multiLevelType w:val="multilevel"/>
    <w:tmpl w:val="E6B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374136">
    <w:abstractNumId w:val="2"/>
  </w:num>
  <w:num w:numId="2" w16cid:durableId="1000936646">
    <w:abstractNumId w:val="4"/>
  </w:num>
  <w:num w:numId="3" w16cid:durableId="77797286">
    <w:abstractNumId w:val="1"/>
  </w:num>
  <w:num w:numId="4" w16cid:durableId="1994530147">
    <w:abstractNumId w:val="5"/>
  </w:num>
  <w:num w:numId="5" w16cid:durableId="867182409">
    <w:abstractNumId w:val="0"/>
  </w:num>
  <w:num w:numId="6" w16cid:durableId="1754013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F7"/>
    <w:rsid w:val="000E438E"/>
    <w:rsid w:val="00184AC4"/>
    <w:rsid w:val="003B19A0"/>
    <w:rsid w:val="004367F7"/>
    <w:rsid w:val="00576564"/>
    <w:rsid w:val="00945FB5"/>
    <w:rsid w:val="00FE5D2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D40F74"/>
  <w15:chartTrackingRefBased/>
  <w15:docId w15:val="{13E56DE4-0510-3D40-9E04-86CE59B3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F7"/>
    <w:rPr>
      <w:rFonts w:eastAsiaTheme="majorEastAsia" w:cstheme="majorBidi"/>
      <w:color w:val="272727" w:themeColor="text1" w:themeTint="D8"/>
    </w:rPr>
  </w:style>
  <w:style w:type="paragraph" w:styleId="Title">
    <w:name w:val="Title"/>
    <w:basedOn w:val="Normal"/>
    <w:next w:val="Normal"/>
    <w:link w:val="TitleChar"/>
    <w:uiPriority w:val="10"/>
    <w:qFormat/>
    <w:rsid w:val="00436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F7"/>
    <w:pPr>
      <w:spacing w:before="160"/>
      <w:jc w:val="center"/>
    </w:pPr>
    <w:rPr>
      <w:i/>
      <w:iCs/>
      <w:color w:val="404040" w:themeColor="text1" w:themeTint="BF"/>
    </w:rPr>
  </w:style>
  <w:style w:type="character" w:customStyle="1" w:styleId="QuoteChar">
    <w:name w:val="Quote Char"/>
    <w:basedOn w:val="DefaultParagraphFont"/>
    <w:link w:val="Quote"/>
    <w:uiPriority w:val="29"/>
    <w:rsid w:val="004367F7"/>
    <w:rPr>
      <w:i/>
      <w:iCs/>
      <w:color w:val="404040" w:themeColor="text1" w:themeTint="BF"/>
    </w:rPr>
  </w:style>
  <w:style w:type="paragraph" w:styleId="ListParagraph">
    <w:name w:val="List Paragraph"/>
    <w:basedOn w:val="Normal"/>
    <w:uiPriority w:val="34"/>
    <w:qFormat/>
    <w:rsid w:val="004367F7"/>
    <w:pPr>
      <w:ind w:left="720"/>
      <w:contextualSpacing/>
    </w:pPr>
  </w:style>
  <w:style w:type="character" w:styleId="IntenseEmphasis">
    <w:name w:val="Intense Emphasis"/>
    <w:basedOn w:val="DefaultParagraphFont"/>
    <w:uiPriority w:val="21"/>
    <w:qFormat/>
    <w:rsid w:val="004367F7"/>
    <w:rPr>
      <w:i/>
      <w:iCs/>
      <w:color w:val="0F4761" w:themeColor="accent1" w:themeShade="BF"/>
    </w:rPr>
  </w:style>
  <w:style w:type="paragraph" w:styleId="IntenseQuote">
    <w:name w:val="Intense Quote"/>
    <w:basedOn w:val="Normal"/>
    <w:next w:val="Normal"/>
    <w:link w:val="IntenseQuoteChar"/>
    <w:uiPriority w:val="30"/>
    <w:qFormat/>
    <w:rsid w:val="00436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7F7"/>
    <w:rPr>
      <w:i/>
      <w:iCs/>
      <w:color w:val="0F4761" w:themeColor="accent1" w:themeShade="BF"/>
    </w:rPr>
  </w:style>
  <w:style w:type="character" w:styleId="IntenseReference">
    <w:name w:val="Intense Reference"/>
    <w:basedOn w:val="DefaultParagraphFont"/>
    <w:uiPriority w:val="32"/>
    <w:qFormat/>
    <w:rsid w:val="004367F7"/>
    <w:rPr>
      <w:b/>
      <w:bCs/>
      <w:smallCaps/>
      <w:color w:val="0F4761" w:themeColor="accent1" w:themeShade="BF"/>
      <w:spacing w:val="5"/>
    </w:rPr>
  </w:style>
  <w:style w:type="paragraph" w:styleId="NormalWeb">
    <w:name w:val="Normal (Web)"/>
    <w:basedOn w:val="Normal"/>
    <w:uiPriority w:val="99"/>
    <w:semiHidden/>
    <w:unhideWhenUsed/>
    <w:rsid w:val="004367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67F7"/>
    <w:rPr>
      <w:b/>
      <w:bCs/>
    </w:rPr>
  </w:style>
  <w:style w:type="character" w:styleId="HTMLCode">
    <w:name w:val="HTML Code"/>
    <w:basedOn w:val="DefaultParagraphFont"/>
    <w:uiPriority w:val="99"/>
    <w:semiHidden/>
    <w:unhideWhenUsed/>
    <w:rsid w:val="004367F7"/>
    <w:rPr>
      <w:rFonts w:ascii="Courier New" w:eastAsia="Times New Roman" w:hAnsi="Courier New" w:cs="Courier New"/>
      <w:sz w:val="20"/>
      <w:szCs w:val="20"/>
    </w:rPr>
  </w:style>
  <w:style w:type="character" w:styleId="Emphasis">
    <w:name w:val="Emphasis"/>
    <w:basedOn w:val="DefaultParagraphFont"/>
    <w:uiPriority w:val="20"/>
    <w:qFormat/>
    <w:rsid w:val="004367F7"/>
    <w:rPr>
      <w:i/>
      <w:iCs/>
    </w:rPr>
  </w:style>
  <w:style w:type="paragraph" w:customStyle="1" w:styleId="my-2">
    <w:name w:val="my-2"/>
    <w:basedOn w:val="Normal"/>
    <w:rsid w:val="003B19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21404">
      <w:bodyDiv w:val="1"/>
      <w:marLeft w:val="0"/>
      <w:marRight w:val="0"/>
      <w:marTop w:val="0"/>
      <w:marBottom w:val="0"/>
      <w:divBdr>
        <w:top w:val="none" w:sz="0" w:space="0" w:color="auto"/>
        <w:left w:val="none" w:sz="0" w:space="0" w:color="auto"/>
        <w:bottom w:val="none" w:sz="0" w:space="0" w:color="auto"/>
        <w:right w:val="none" w:sz="0" w:space="0" w:color="auto"/>
      </w:divBdr>
    </w:div>
    <w:div w:id="1043216290">
      <w:bodyDiv w:val="1"/>
      <w:marLeft w:val="0"/>
      <w:marRight w:val="0"/>
      <w:marTop w:val="0"/>
      <w:marBottom w:val="0"/>
      <w:divBdr>
        <w:top w:val="none" w:sz="0" w:space="0" w:color="auto"/>
        <w:left w:val="none" w:sz="0" w:space="0" w:color="auto"/>
        <w:bottom w:val="none" w:sz="0" w:space="0" w:color="auto"/>
        <w:right w:val="none" w:sz="0" w:space="0" w:color="auto"/>
      </w:divBdr>
      <w:divsChild>
        <w:div w:id="336924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三江 李</dc:creator>
  <cp:keywords/>
  <dc:description/>
  <cp:lastModifiedBy>三江 李</cp:lastModifiedBy>
  <cp:revision>2</cp:revision>
  <dcterms:created xsi:type="dcterms:W3CDTF">2026-05-18T08:13:00Z</dcterms:created>
  <dcterms:modified xsi:type="dcterms:W3CDTF">2026-05-18T09:49:00Z</dcterms:modified>
</cp:coreProperties>
</file>