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77777"/>
          <w:sz w:val="20"/>
        </w:rPr>
        <w:t>WESTBOURSE  ·  Recherche Actions BRVM</w:t>
      </w:r>
    </w:p>
    <w:p>
      <w:pPr>
        <w:spacing w:after="40" w:before="40"/>
      </w:pPr>
      <w:r>
        <w:rPr>
          <w:rFonts w:ascii="Times New Roman" w:hAnsi="Times New Roman"/>
          <w:b/>
          <w:color w:val="FF7900"/>
          <w:sz w:val="34"/>
        </w:rPr>
        <w:t>ORANGE CÔTE D'IVOIRE (ORAC) — Revue de résultats FY2025</w:t>
      </w:r>
    </w:p>
    <w:p>
      <w:pPr>
        <w:spacing w:after="120"/>
      </w:pPr>
      <w:r>
        <w:rPr>
          <w:rFonts w:ascii="Times New Roman" w:hAnsi="Times New Roman"/>
          <w:i/>
          <w:sz w:val="22"/>
        </w:rPr>
        <w:t>Télécommunications  ·  Côte d'Ivoire, Burkina Faso, Libéria  ·  Cote BRVM : ORAC</w:t>
      </w:r>
    </w:p>
    <w:p>
      <w:r>
        <w:rPr>
          <w:sz w:val="20"/>
        </w:rPr>
        <w:t>Résultats annuels 2025 (états financiers consolidés provisoires IFRS, vérifiés par les commissaires aux comptes, publiés le 17 février 2026 — non encore approuvés en AG).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Synthèse</w:t>
      </w:r>
    </w:p>
    <w:p>
      <w:pPr>
        <w:spacing w:after="120"/>
      </w:pPr>
      <w:r>
        <w:rPr>
          <w:rFonts w:ascii="Times New Roman" w:hAnsi="Times New Roman"/>
          <w:i w:val="0"/>
          <w:sz w:val="22"/>
        </w:rPr>
        <w:t>Le Groupe Orange Côte d'Ivoire clôture 2025 sur une croissance à deux chiffres du chiffre d'affaires (+10,4 % à 1 197,1 Md FCFA), portée par les trois pays du cluster (Côte d'Ivoire, Burkina Faso, Libéria). La rentabilité d'exploitation progresse (résultat d'exploitation +9,1 % à 287,2 Md), mais la pression fiscale et réglementaire (impôts et taxes d'exploitation +20,8 %) et l'alourdissement du résultat financier (−28,8 Md) limitent la hausse du résultat net de l'ensemble consolidé à +6,1 % (167,8 Md). Le résultat net part du groupe progresse nettement plus vite (+18,8 % à 129,1 Md), grâce au recul de la quote-part des minoritaires — d'où un BPA part du groupe de 857,1 FCFA (+18,8 %). Le dividende brut proposé s'élève à 800 FCFA/action (rendement brut 4,8 % au cours du 19/06/2026).</w:t>
      </w:r>
    </w:p>
    <w:p>
      <w:pPr>
        <w:spacing w:after="120"/>
      </w:pPr>
      <w:r>
        <w:rPr>
          <w:rFonts w:ascii="Times New Roman" w:hAnsi="Times New Roman"/>
          <w:i/>
          <w:sz w:val="22"/>
        </w:rPr>
        <w:t>Note méthodologique : cette revue applique un format « earnings review » institutionnel aux données brutes de la publication BRVM. Faute de consensus d'analystes et de guidance chiffrée publiés sur la valeur, aucune analyse « beat/miss » ni cible de cours n'est fabriquée — la comparaison est faite vs l'exercice précédent et vs les commentaires de la direction.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Instantané de marché &amp; valorisation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Indicateur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Cours (19/06/2026)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16 695.0 FCFA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Capitalisation boursière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2 515.2 Md FCFA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Nombre d'actions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150 655 350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Bêta (1 an)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1.56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BPA part du groupe FY2025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857.1 FCFA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P/E (BPA part groupe)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19.5x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P/B (CP part groupe)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4.08x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Dividende brut / net (pers. phys.)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800.0 / 704.0 FCFA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Rendement brut / net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4.79% / 4.22%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9"/>
              </w:rPr>
              <w:t>Taux de distribution (sur RN part groupe)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93%</w:t>
            </w:r>
          </w:p>
        </w:tc>
      </w:tr>
    </w:tbl>
    <w:p>
      <w:pPr>
        <w:spacing w:after="200"/>
      </w:pPr>
      <w:r>
        <w:rPr>
          <w:i/>
          <w:color w:val="777777"/>
          <w:sz w:val="16"/>
        </w:rPr>
        <w:t>Sources : cours et capitalisation — Supabase brvm_actions_daily au 19/06/2026 (origine brvm.org). Dividende et nombre d'actions — Projet d'affectation du résultat, p.14 du document source. Ratios calculés par WESTBOURSE.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Résultats consolidés — compte de résultat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Md FCFA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Var.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Chiffre d'affaires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1 197.1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1 084.1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+10.4%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EBITDAaL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424.1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390.3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+8.7%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Résultat d'exploitation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287.2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263.2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+9.1%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Résultat financier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-28.8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-20.5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+40.5%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Résultat avant impôt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258.4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242.7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+6.5%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Impôt sur les sociétés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-90.6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-84.5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+7.2%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Résultat net (ensemble)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167.8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158.2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+6.1%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RN part du groupe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129.1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108.7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+18.8%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RN minoritaires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-38.7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-42.4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-8.7%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BPA part du groupe (FCFA)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857.1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721.6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+18.8%</w:t>
            </w:r>
          </w:p>
        </w:tc>
      </w:tr>
    </w:tbl>
    <w:p>
      <w:pPr>
        <w:spacing w:after="200"/>
      </w:pPr>
      <w:r>
        <w:rPr>
          <w:i/>
          <w:color w:val="777777"/>
          <w:sz w:val="16"/>
        </w:rPr>
        <w:t>Source : États financiers consolidés 2025 IFRS — Compte de résultat, p.7. Document : « Etats financiers - Exercice 2025 - ORANGE CI » (bfin.brvm.org, 17/02/2026).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8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_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1 — CA et résultats. Source : p.7 du document. Graphique WESTBOURSE.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8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2 — Marges (calcul WESTBOURSE sur données p.7). Légère érosion : marge EBITDAaL 35,4 % (vs 36,0 %), marge nette 14,0 % (vs 14,6 %).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8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3 — Le résultat part du groupe progresse plus vite (+18,8 %) que l'ensemble consolidé (+6,1 %) grâce au repli des minoritaires. Source : p.7/p.10.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77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4 — BPA part du groupe. Source : p.7.</w:t>
      </w:r>
    </w:p>
    <w:p>
      <w:pPr>
        <w:spacing w:after="120"/>
      </w:pPr>
      <w:r>
        <w:rPr>
          <w:rFonts w:ascii="Times New Roman" w:hAnsi="Times New Roman"/>
          <w:i w:val="0"/>
          <w:sz w:val="22"/>
        </w:rPr>
        <w:t>Lecture pour un investisseur : la croissance du CA (+113,0 Md) est solide et diversifiée sur trois marchés. Mais elle se traduit de façon atténuée au niveau du résultat net de l'ensemble (+9,6 Md seulement), principalement à cause de (i) la hausse des impôts et taxes d'exploitation (+31,3 Md, soit +20,8 %), (ii) l'alourdissement du coût de l'endettement financier brut (−22,8 Md vs −18,0 Md) et (iii) des amendes douanières exceptionnelles à Orange Burkina Faso. La direction indique que, hors cet impact exceptionnel, le résultat net aurait progressé de +9,3 %.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Bilan &amp; structure financière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Md FCFA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Var.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Total actif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2 554.1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2 309.1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+10.6%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Immobilisations corp.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665.1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628.5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+5.8%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Disponibilités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225.8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287.0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-21.3%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Autres actifs courants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934.3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627.3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+48.9%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Total capitaux propres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707.8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713.8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-0.8%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CP part du groupe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616.7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616.3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+0.1%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Passifs fin. non cour.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224.0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159.8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+40.2%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Passifs fin. courants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111.9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176.0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-36.4%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Dettes locatives n.c.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53.8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72.9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-26.2%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Dettes locatives cour.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22.9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17.7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+29.4%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Dette fin.+locative nette de tréso.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186.8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139.4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+34.0%</w:t>
            </w:r>
          </w:p>
        </w:tc>
      </w:tr>
    </w:tbl>
    <w:p>
      <w:pPr>
        <w:spacing w:after="200"/>
      </w:pPr>
      <w:r>
        <w:rPr>
          <w:i/>
          <w:color w:val="777777"/>
          <w:sz w:val="16"/>
        </w:rPr>
        <w:t>Source : États financiers consolidés 2025 IFRS — Actif p.8, Passif p.9. Dette nette = passifs financiers (courants + non courants) + dettes locatives − disponibilités ; calcul WESTBOURSE.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8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5 — Structure de l'actif. La forte hausse des « autres actifs courants » (+306,9 Md, +48,9 %) explique l'essentiel de la croissance du bilan. Source : p.8.</w:t>
      </w:r>
    </w:p>
    <w:p>
      <w:pPr>
        <w:spacing w:after="120"/>
      </w:pPr>
      <w:r>
        <w:rPr>
          <w:rFonts w:ascii="Times New Roman" w:hAnsi="Times New Roman"/>
          <w:i w:val="0"/>
          <w:sz w:val="22"/>
        </w:rPr>
        <w:t>La structure financière reste maîtrisée : la dette financière et locative nette de trésorerie ressort à environ 186.8 Md FCFA, soit ~0.44x l'EBITDAaL (vs ~0.36x en 2024). Les capitaux propres part du groupe sont stables (616,7 Md), la baisse des capitaux propres totaux (−0,8 %) provenant des écarts de conversion et de la distribution de dividendes. À noter : un effet de structure marqué entre « autres actifs courants » (+306,9 Md) et « autres passifs courants » (+246,3 Md), à surveiller dans le rapport annuel détaillé (notes non encore publiées).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Trésorerie &amp; investissements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Md FCFA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FY2024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Var.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Trésorerie d'exploitation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335.5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256.3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+30.9%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Capex (acq. immo.)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184.2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159.5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+15.5%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Dividendes versés (cash)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192.5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156.2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+23.2%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Free cash-flow (exploit. − capex)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151.3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96.8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+56.3%</w:t>
            </w:r>
          </w:p>
        </w:tc>
      </w:tr>
    </w:tbl>
    <w:p>
      <w:pPr>
        <w:spacing w:after="200"/>
      </w:pPr>
      <w:r>
        <w:rPr>
          <w:i/>
          <w:color w:val="777777"/>
          <w:sz w:val="16"/>
        </w:rPr>
        <w:t>Source : Tableau de flux de trésorerie, p.11/p.12. eCapex annoncé p.3 : 184,0 Md (2025) / 159,1 Md (2024).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8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6 — La trésorerie d'exploitation bondit (+30,9 %) et absorbe la hausse du capex, portant le FCF à 151,3 Md (×1,6). Source : p.11/12.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77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7 — Parc FMI +9,0 % (38,5 M) et eCapex +15,6 %. Source : p.3.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Dividende &amp; affectation du résultat</w:t>
      </w:r>
    </w:p>
    <w:p>
      <w:pPr>
        <w:spacing w:after="120"/>
      </w:pPr>
      <w:r>
        <w:rPr>
          <w:rFonts w:ascii="Times New Roman" w:hAnsi="Times New Roman"/>
          <w:i w:val="0"/>
          <w:sz w:val="22"/>
        </w:rPr>
        <w:t>Le Conseil d'Administration propose d'affecter l'intégralité du bénéfice net comptable 2025 (131,77 Md FCFA, comptes sociaux de la société mère) au compte Report à Nouveau, puis de distribuer un dividende global brut de 120,52 Md FCFA prélevé sur ce compte, soit 800 FCFA/action brut. Après retenue à la source IRVM, le dividende net ressort à 720 FCFA (personnes morales) et 704 FCFA (personnes physiques).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777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77777"/>
          <w:sz w:val="16"/>
        </w:rPr>
        <w:t>Fig. 8 — Historique du dividende net (pers. phys.). 2025 : 704 net / 800 brut. Sources : dividendes 2022-2024 — Supabase/sikafinance ; 2025 — p.14 du document source.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Réconciliation : PDF source vs base de données WESTBOURSE</w:t>
      </w:r>
    </w:p>
    <w:p>
      <w:pPr>
        <w:spacing w:after="120"/>
      </w:pPr>
      <w:r>
        <w:rPr>
          <w:rFonts w:ascii="Times New Roman" w:hAnsi="Times New Roman"/>
          <w:i w:val="0"/>
          <w:sz w:val="22"/>
        </w:rPr>
        <w:t>Vérification de l'extraction automatique (table income_statements / balance_sheets) face au PDF source. Objectif : confirmer qu'aucun chiffre n'est altéré ou inventé.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Donnée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PDF source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Base WESTBOURSE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9"/>
              </w:rPr>
              <w:t>Écart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CA 2025 (Md)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1 197,1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1 197,1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Résultat net ensemble (Md)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167,8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167,8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BPA part groupe (FCFA)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857,1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857,1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Total actif (Md)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2 554,1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2 554,1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Capitaux propres (Md)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707,8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707,8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Dividende/action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800 brut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800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 (brut)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9"/>
              </w:rPr>
              <w:t>Dividende (table dividends)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704 net p.p.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704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19"/>
              </w:rPr>
              <w:t>— (net)</w:t>
            </w:r>
          </w:p>
        </w:tc>
      </w:tr>
    </w:tbl>
    <w:p>
      <w:pPr>
        <w:spacing w:after="200"/>
      </w:pPr>
      <w:r>
        <w:rPr>
          <w:i/>
          <w:color w:val="777777"/>
          <w:sz w:val="16"/>
        </w:rPr>
        <w:t>L'extraction en base est fidèle au PDF. Les deux valeurs de dividende (800 / 704) ne sont pas contradictoires : 800 FCFA est le dividende BRUT, 704 FCFA le NET après IRVM 12 % pour les personnes physiques. De même, le BPA de 857,1 FCFA porte sur le résultat PART DU GROUPE (129,1 Md), non sur l'ensemble consolidé (167,8 Md).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Points d'attention pour l'investisseur</w:t>
      </w:r>
    </w:p>
    <w:p>
      <w:pPr>
        <w:pStyle w:val="ListBullet"/>
      </w:pPr>
      <w:r>
        <w:rPr>
          <w:rFonts w:ascii="Times New Roman" w:hAnsi="Times New Roman"/>
          <w:sz w:val="21"/>
        </w:rPr>
        <w:t>Pression fiscale et réglementaire croissante : impôts et taxes d'exploitation +20,8 % (181,5 Md), premier frein à la conversion de la croissance du CA en résultat.</w:t>
      </w:r>
    </w:p>
    <w:p>
      <w:pPr>
        <w:pStyle w:val="ListBullet"/>
      </w:pPr>
      <w:r>
        <w:rPr>
          <w:rFonts w:ascii="Times New Roman" w:hAnsi="Times New Roman"/>
          <w:sz w:val="21"/>
        </w:rPr>
        <w:t>Effets exceptionnels : amendes douanières à Orange Burkina Faso ; hors impact, RN +9,3 % vs +6,1 % publié.</w:t>
      </w:r>
    </w:p>
    <w:p>
      <w:pPr>
        <w:pStyle w:val="ListBullet"/>
      </w:pPr>
      <w:r>
        <w:rPr>
          <w:rFonts w:ascii="Times New Roman" w:hAnsi="Times New Roman"/>
          <w:sz w:val="21"/>
        </w:rPr>
        <w:t>Coût de l'endettement en hausse (−22,8 Md vs −18,0 Md) malgré une dette nette modérée.</w:t>
      </w:r>
    </w:p>
    <w:p>
      <w:pPr>
        <w:pStyle w:val="ListBullet"/>
      </w:pPr>
      <w:r>
        <w:rPr>
          <w:rFonts w:ascii="Times New Roman" w:hAnsi="Times New Roman"/>
          <w:sz w:val="21"/>
        </w:rPr>
        <w:t>Forte variation des postes « autres actifs/passifs courants » : à éclairer avec les notes du rapport annuel.</w:t>
      </w:r>
    </w:p>
    <w:p>
      <w:pPr>
        <w:pStyle w:val="ListBullet"/>
      </w:pPr>
      <w:r>
        <w:rPr>
          <w:rFonts w:ascii="Times New Roman" w:hAnsi="Times New Roman"/>
          <w:sz w:val="21"/>
        </w:rPr>
        <w:t>Taux de distribution élevé (~93 % du résultat part du groupe) : rendement attractif mais peu de marge de hausse sans accélération du résultat.</w:t>
      </w:r>
    </w:p>
    <w:p>
      <w:pPr>
        <w:pStyle w:val="ListBullet"/>
      </w:pPr>
      <w:r>
        <w:rPr>
          <w:rFonts w:ascii="Times New Roman" w:hAnsi="Times New Roman"/>
          <w:sz w:val="21"/>
        </w:rPr>
        <w:t>États financiers PROVISOIRES (non encore approuvés en AG) : chiffres susceptibles d'ajustement.</w:t>
      </w:r>
    </w:p>
    <w:p>
      <w:pPr>
        <w:spacing w:after="120" w:before="200"/>
      </w:pPr>
      <w:r>
        <w:rPr>
          <w:rFonts w:ascii="Times New Roman" w:hAnsi="Times New Roman"/>
          <w:b/>
          <w:color w:val="FF7900"/>
          <w:sz w:val="30"/>
        </w:rPr>
        <w:t>Sources &amp; références</w:t>
      </w:r>
    </w:p>
    <w:p>
      <w:r>
        <w:rPr>
          <w:sz w:val="18"/>
        </w:rPr>
        <w:t>États financiers - Exercice 2025 - ORANGE CI (BRVM/BDFIN, 17/02/2026) — document source principal :</w:t>
      </w:r>
    </w:p>
    <w:p>
      <w:r>
        <w:rPr>
          <w:color w:val="1155CC"/>
          <w:sz w:val="18"/>
          <w:u w:val="single"/>
        </w:rPr>
        <w:t xml:space="preserve">    https://bfin.brvm.org/0/Communiques_emetteurs/20260217%20-%20Etats%20financiers%20-%20Exercice%202025%20-%20ORANGE%20CI.pdf</w:t>
      </w:r>
    </w:p>
    <w:p>
      <w:r>
        <w:rPr>
          <w:sz w:val="18"/>
        </w:rPr>
        <w:t>États financiers - Exercice 2024 - ORANGE CI (BRVM/BDFIN, 21/02/2025) — comparatif.</w:t>
      </w:r>
    </w:p>
    <w:p>
      <w:r>
        <w:rPr>
          <w:sz w:val="18"/>
        </w:rPr>
        <w:t>Données de marché : Supabase brvm_actions_daily (origine brvm.org public), cours au 19/06/2026.</w:t>
      </w:r>
    </w:p>
    <w:p>
      <w:r>
        <w:rPr>
          <w:sz w:val="18"/>
        </w:rPr>
        <w:t>Historique dividendes 2022-2024 : Supabase / sikafinance.com.</w:t>
      </w:r>
    </w:p>
    <w:p>
      <w:r>
        <w:rPr>
          <w:sz w:val="18"/>
        </w:rPr>
        <w:t>Ratios de valorisation : calculs WESTBOURSE.</w:t>
      </w:r>
    </w:p>
    <w:p>
      <w:pPr>
        <w:spacing w:after="120" w:before="200"/>
      </w:pPr>
      <w:r>
        <w:rPr>
          <w:rFonts w:ascii="Times New Roman" w:hAnsi="Times New Roman"/>
          <w:b/>
          <w:color w:val="4D4D4D"/>
          <w:sz w:val="22"/>
        </w:rPr>
        <w:t>Avertissement</w:t>
      </w:r>
    </w:p>
    <w:p>
      <w:pPr>
        <w:spacing w:after="120"/>
      </w:pPr>
      <w:r>
        <w:rPr>
          <w:rFonts w:ascii="Times New Roman" w:hAnsi="Times New Roman"/>
          <w:i/>
          <w:sz w:val="17"/>
        </w:rPr>
        <w:t>Document à but informatif, dérivé exclusivement de données publiées réelles — aucune valeur n'est inventée. Ne constitue pas un conseil en investissement personnalisé. Les ordres s'exécutent via une SGI agréée. Les performances passées ne préjugent pas des performances futures. © WESTBOURSE.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