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2533" w14:textId="4A0C62C1" w:rsidR="0042443B" w:rsidRDefault="0042443B" w:rsidP="0042443B">
      <w:pPr>
        <w:pStyle w:val="Title"/>
      </w:pPr>
      <w:r>
        <w:t>Cocoa positioning note</w:t>
      </w:r>
    </w:p>
    <w:p w14:paraId="127E0784" w14:textId="07F2FF50" w:rsidR="0042443B" w:rsidRDefault="0042443B" w:rsidP="0042443B">
      <w:pPr>
        <w:pStyle w:val="Subtitle"/>
      </w:pPr>
      <w:r>
        <w:t>Ebrahim Cahlon | Information cutoff 14 August 2026 at 19:31 UTC</w:t>
      </w:r>
    </w:p>
    <w:p w14:paraId="055483A2" w14:textId="164A887D" w:rsidR="0042443B" w:rsidRDefault="0042443B" w:rsidP="0042443B">
      <w:pPr>
        <w:pStyle w:val="Heading1"/>
      </w:pPr>
      <w:r>
        <w:t>View</w:t>
      </w:r>
    </w:p>
    <w:p w14:paraId="20E2DCBB" w14:textId="7A0A7ABB" w:rsidR="0042443B" w:rsidRDefault="0042443B" w:rsidP="0042443B">
      <w:r>
        <w:t>Managed-money cocoa positioning had moved from a large net long to a net short by August 2026. The subsequent recovery in positioning and the monthly price indicator supports watching for an upside response to disappointing crop news. It does not establish a directional forecast.</w:t>
      </w:r>
    </w:p>
    <w:p w14:paraId="2442E73A" w14:textId="54F3FDFA" w:rsidR="0042443B" w:rsidRDefault="0042443B" w:rsidP="0042443B">
      <w:r>
        <w:t>Net positioning fell from +82,572 contracts in January 2024 to -23,084 in June 2026, then recovered to -6,667 on 11 August. July's World Bank cocoa indicator was $5.61/kg, 42.6% above the Q1 2026 average. Open interest recovered from its April 2025 low but remained 42.8% below the January 2024 peak.</w:t>
      </w:r>
    </w:p>
    <w:p w14:paraId="10ACEBC5" w14:textId="54DDAC6C" w:rsidR="0042443B" w:rsidRDefault="0042443B" w:rsidP="0042443B">
      <w:pPr>
        <w:pStyle w:val="Heading1"/>
      </w:pPr>
      <w:r>
        <w:t>What would change the view</w:t>
      </w:r>
    </w:p>
    <w:p w14:paraId="63168EC5" w14:textId="2B2EB10C" w:rsidR="0042443B" w:rsidRDefault="0042443B" w:rsidP="0042443B">
      <w:r>
        <w:t>A stronger upside case would combine disappointing crop or balance estimates with a sustained price rebound, less negative managed-money net positioning and rising open interest. That would suggest wider participation, although COT categories cannot identify traders' motives.</w:t>
      </w:r>
    </w:p>
    <w:p w14:paraId="08C5DB35" w14:textId="29773049" w:rsidR="0042443B" w:rsidRDefault="0042443B" w:rsidP="0042443B">
      <w:r>
        <w:t>Weaker grindings, a larger official surplus, falling prices or renewed short formation would weaken the case. The observed recovery is consistent with short-covering or renewed risk-taking; the data do not establish which explanation dominates.</w:t>
      </w:r>
    </w:p>
    <w:p w14:paraId="547B32BA" w14:textId="1555ECEE" w:rsidR="0042443B" w:rsidRDefault="0042443B" w:rsidP="0042443B">
      <w:pPr>
        <w:pStyle w:val="Heading1"/>
      </w:pPr>
      <w:r>
        <w:t>Publication timing</w:t>
      </w:r>
    </w:p>
    <w:p w14:paraId="6C6E276D" w14:textId="5D5D0E5B" w:rsidR="0042443B" w:rsidRDefault="0042443B" w:rsidP="0042443B">
      <w:r>
        <w:t>Tuesday COT positions normally become available on Friday at 15:30 New York time. This study filters by available_at, with timezone-aware release rules and documented exceptions. The 30 September 2025 observation was released on 19 November during the shutdown backlog. Ordinary 2024 and uncovered 2025 releases use modelled dates.</w:t>
      </w:r>
    </w:p>
    <w:p w14:paraId="591A4B01" w14:textId="60BC5574" w:rsidR="0042443B" w:rsidRDefault="0042443B" w:rsidP="0042443B">
      <w:r>
        <w:t>The annual CFTC files are retrieved snapshots that may contain later corrections. Release-time filtering prevents use before the report's publication, but cannot reconstruct every historical value vintage.</w:t>
      </w:r>
    </w:p>
    <w:p w14:paraId="5FC86A3A" w14:textId="26A023D7" w:rsidR="0042443B" w:rsidRDefault="0042443B" w:rsidP="0042443B">
      <w:pPr>
        <w:pStyle w:val="Heading1"/>
      </w:pPr>
      <w:r>
        <w:t>Limits</w:t>
      </w:r>
    </w:p>
    <w:p w14:paraId="5208475B" w14:textId="641206D5" w:rsidR="0042443B" w:rsidRDefault="0042443B" w:rsidP="0042443B">
      <w:r>
        <w:t>The four monthly price values are retrospective context, not returns on a specific futures contract. Positioning does not prove causality, crowding or normalised physical supply. Contract-unit equivalents are not inventory. This note makes no claim of alpha, executable P&amp;L or forecast accuracy.</w:t>
      </w:r>
    </w:p>
    <w:p w14:paraId="7BCC4A43" w14:textId="6749D5FD" w:rsidR="0042443B" w:rsidRDefault="0042443B" w:rsidP="0042443B">
      <w:pPr>
        <w:pStyle w:val="Heading1"/>
      </w:pPr>
      <w:r>
        <w:t>Sources</w:t>
      </w:r>
    </w:p>
    <w:p w14:paraId="0C7223AA" w14:textId="07D826A5" w:rsidR="0042443B" w:rsidRPr="0042443B" w:rsidRDefault="0042443B" w:rsidP="0042443B">
      <w:pPr>
        <w:rPr>
          <w:sz w:val="18"/>
        </w:rPr>
      </w:pPr>
      <w:hyperlink r:id="rId4" w:history="1">
        <w:r>
          <w:rPr>
            <w:rStyle w:val="Hyperlink"/>
          </w:rPr>
          <w:t>CFTC positioning</w:t>
        </w:r>
      </w:hyperlink>
      <w:r>
        <w:rPr>
          <w:sz w:val="18"/>
        </w:rPr>
        <w:t xml:space="preserve"> | </w:t>
      </w:r>
      <w:hyperlink r:id="rId5" w:history="1">
        <w:r>
          <w:rPr>
            <w:rStyle w:val="Hyperlink"/>
          </w:rPr>
          <w:t>CFTC release exceptions</w:t>
        </w:r>
      </w:hyperlink>
      <w:r>
        <w:rPr>
          <w:sz w:val="18"/>
        </w:rPr>
        <w:t xml:space="preserve"> | </w:t>
      </w:r>
      <w:hyperlink r:id="rId6" w:history="1">
        <w:r>
          <w:rPr>
            <w:rStyle w:val="Hyperlink"/>
          </w:rPr>
          <w:t>World Bank price source</w:t>
        </w:r>
      </w:hyperlink>
      <w:r>
        <w:rPr>
          <w:sz w:val="18"/>
        </w:rPr>
        <w:t xml:space="preserve"> | </w:t>
      </w:r>
      <w:hyperlink r:id="rId7" w:history="1">
        <w:r>
          <w:rPr>
            <w:rStyle w:val="Hyperlink"/>
          </w:rPr>
          <w:t>Retained sources and hashes</w:t>
        </w:r>
      </w:hyperlink>
    </w:p>
    <w:sectPr w:rsidR="0042443B" w:rsidRPr="0042443B" w:rsidSect="0042443B">
      <w:pgSz w:w="12240" w:h="15840"/>
      <w:pgMar w:top="940" w:right="1080" w:bottom="9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3B"/>
    <w:rsid w:val="0042443B"/>
    <w:rsid w:val="00E8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AE6DC1"/>
  <w15:chartTrackingRefBased/>
  <w15:docId w15:val="{D1CFB63A-99D9-4F75-9057-12FE011F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43B"/>
    <w:pPr>
      <w:keepNext/>
      <w:keepLines/>
      <w:spacing w:before="160" w:after="80"/>
      <w:outlineLvl w:val="0"/>
    </w:pPr>
    <w:rPr>
      <w:rFonts w:eastAsiaTheme="majorEastAsia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3B"/>
    <w:rPr>
      <w:rFonts w:ascii="Calibri" w:eastAsiaTheme="majorEastAsia" w:hAnsi="Calibri" w:cs="Calibri"/>
      <w:b/>
      <w:color w:val="00000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3B"/>
    <w:pPr>
      <w:keepNext/>
      <w:contextualSpacing/>
    </w:pPr>
    <w:rPr>
      <w:rFonts w:eastAsiaTheme="majorEastAsia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43B"/>
    <w:rPr>
      <w:rFonts w:ascii="Calibri" w:eastAsiaTheme="majorEastAsia" w:hAnsi="Calibri" w:cs="Calibri"/>
      <w:b/>
      <w:color w:val="000000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3B"/>
    <w:pPr>
      <w:keepNext/>
      <w:numPr>
        <w:ilvl w:val="1"/>
      </w:numPr>
      <w:spacing w:after="180"/>
    </w:pPr>
    <w:rPr>
      <w:rFonts w:eastAsiaTheme="majorEastAsia"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43B"/>
    <w:rPr>
      <w:rFonts w:ascii="Calibri" w:eastAsiaTheme="majorEastAsia" w:hAnsi="Calibri" w:cs="Calibri"/>
      <w:color w:val="000000"/>
      <w:spacing w:val="15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4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ebrahimcahlon212-sketch/cocoa-positioning-regime-study/blob/main/data/source_manifest.cs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docs.worldbank.org/en/doc/74e8be41ceb20fa0da750cda2f6b9e4e-0050012026/world-bank-commodities-price-data-the-pink-sheet" TargetMode="External"/><Relationship Id="rId5" Type="http://schemas.openxmlformats.org/officeDocument/2006/relationships/hyperlink" Target="https://www.cftc.gov/MarketReports/CommitmentsofTraders/HistoricalSpecialAnnouncements/index.htm" TargetMode="External"/><Relationship Id="rId4" Type="http://schemas.openxmlformats.org/officeDocument/2006/relationships/hyperlink" Target="https://www.cftc.gov/MarketReports/CommitmentsofTraders/index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1868</Characters>
  <Application>Microsoft Office Word</Application>
  <DocSecurity>0</DocSecurity>
  <Lines>29</Lines>
  <Paragraphs>15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Cahlon</dc:creator>
  <cp:keywords/>
  <dc:description/>
  <cp:lastModifiedBy>Ebrahim Cahlon</cp:lastModifiedBy>
  <cp:revision>2</cp:revision>
  <cp:lastPrinted>2026-09-16T15:36:00Z</cp:lastPrinted>
  <dcterms:created xsi:type="dcterms:W3CDTF">2026-09-16T15:36:00Z</dcterms:created>
  <dcterms:modified xsi:type="dcterms:W3CDTF">2026-09-16T15:36:00Z</dcterms:modified>
</cp:coreProperties>
</file>