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BC74" w14:textId="70503024" w:rsidR="000015DF" w:rsidRDefault="000015DF" w:rsidP="000015DF">
      <w:pPr>
        <w:pStyle w:val="Title"/>
      </w:pPr>
      <w:r>
        <w:t>Cocoa research memo</w:t>
      </w:r>
    </w:p>
    <w:p w14:paraId="5CF66AAA" w14:textId="7466E81A" w:rsidR="000015DF" w:rsidRDefault="000015DF" w:rsidP="000015DF">
      <w:pPr>
        <w:pStyle w:val="Subtitle"/>
      </w:pPr>
      <w:r>
        <w:t>Ebrahim Cahlon | Information cutoff 20 August 2026 at 12:57:28 UTC</w:t>
      </w:r>
    </w:p>
    <w:p w14:paraId="665B6212" w14:textId="5ACE318B" w:rsidR="000015DF" w:rsidRDefault="000015DF" w:rsidP="000015DF">
      <w:pPr>
        <w:pStyle w:val="Heading1"/>
      </w:pPr>
      <w:r>
        <w:t>Conclusion</w:t>
      </w:r>
    </w:p>
    <w:p w14:paraId="0A60EDBF" w14:textId="245004DF" w:rsidR="000015DF" w:rsidRDefault="000015DF" w:rsidP="000015DF">
      <w:r>
        <w:t>The evidence supports monitoring an upside event risk, but does not establish a profitable reversal rule. The historical monthly-price test is inconclusive. The hypothetical Dec-26 cocoa call spread remains NOT EVALUATED because licensed settlements and option quotes are absent.</w:t>
      </w:r>
    </w:p>
    <w:p w14:paraId="689C6EBB" w14:textId="5450E7E8" w:rsidR="000015DF" w:rsidRDefault="000015DF" w:rsidP="000015DF">
      <w:pPr>
        <w:pStyle w:val="Heading1"/>
      </w:pPr>
      <w:r>
        <w:t>Positioning and the physical balance</w:t>
      </w:r>
    </w:p>
    <w:p w14:paraId="5269ACE0" w14:textId="6C2116A4" w:rsidR="000015DF" w:rsidRDefault="000015DF" w:rsidP="000015DF">
      <w:r>
        <w:t>Managed-money net positioning was -6,667 contracts on 11 August, after a June trough of -23,084. ICCO's May vintage put 2024/25 production at 4,723kt, grindings at 4,628kt, surplus at 48kt and ending stocks at 1,320kt. Stocks-to-grindings was 28.5%. The surplus and stocks were each revised down 27kt; the ratio fell 0.7 percentage points. ICCO's published balance adjusts the crop for loss in weight.</w:t>
      </w:r>
    </w:p>
    <w:p w14:paraId="46E46DF6" w14:textId="7CE78105" w:rsidR="000015DF" w:rsidRDefault="000015DF" w:rsidP="000015DF">
      <w:r>
        <w:t>Q2 grindings fell 4.6% year on year in Europe, but rose 25.07% in Asia and 7.65% in North America. Association coverage differs, and Asian and North American reporting-company changes limit comparisons. These releases cannot be added together to infer global demand.</w:t>
      </w:r>
    </w:p>
    <w:p w14:paraId="32D00E89" w14:textId="72CA69BE" w:rsidR="000015DF" w:rsidRDefault="000015DF" w:rsidP="000015DF">
      <w:pPr>
        <w:pStyle w:val="Heading1"/>
      </w:pPr>
      <w:r>
        <w:t>Weather and scientific evidence</w:t>
      </w:r>
    </w:p>
    <w:p w14:paraId="099C1CAA" w14:textId="534A7FAF" w:rsidR="000015DF" w:rsidRDefault="000015DF" w:rsidP="000015DF">
      <w:r>
        <w:t>For 1 June to 14 August, NASA POWER rainfall proxies were 47.0% above the 2001-2020 monthly baseline at Daloa and 188.0% above at Kumasi. These are provisional grid-cell readings for two locations, without crop-area weights. Kumasi's extreme June accumulation needs a second source. Weather cannot activate version 1 of the trade rule.</w:t>
      </w:r>
    </w:p>
    <w:p w14:paraId="6B757146" w14:textId="4D7D2D09" w:rsidR="000015DF" w:rsidRDefault="000015DF" w:rsidP="000015DF">
      <w:r>
        <w:t>The registry covers four studies. Asitoakor et al. (2022) associates wetter Ghanaian conditions with black-pod pressure; management is a confounder. Montero-Sanchez et al. (2025) supports crop-stage lags in Ghana, but pod counts are not traded tonnes. Gateau-Rey et al. (2018) concerns severe drought in one Brazilian municipality; its loss magnitude cannot be transferred to West Africa. The fourth study projects longer-term climate effects on yield. None supplies a cocoa-price coefficient.</w:t>
      </w:r>
    </w:p>
    <w:p w14:paraId="5FABBB93" w14:textId="5A47E140" w:rsidR="000015DF" w:rsidRDefault="000015DF" w:rsidP="000015DF">
      <w:pPr>
        <w:pStyle w:val="Heading1"/>
      </w:pPr>
      <w:r>
        <w:t>Historical test</w:t>
      </w:r>
    </w:p>
    <w:p w14:paraId="19A6B8BD" w14:textId="111D3C15" w:rsidR="000015DF" w:rsidRDefault="000015DF" w:rsidP="000015DF">
      <w:r>
        <w:t>The frozen rule detects a reversal from the prior-only tenth percentile of net positioning divided by open interest, after at least 156 earlier releases and a 91-day publication-time cooldown. It finds 13 events, of which 12 have complete World Bank monthly responses from m+1 to m+4. Mean response is +0.6%, median +1.8%, and 58.3% are positive. The 95% block-bootstrap interval is -5.6% to +5.8%.</w:t>
      </w:r>
    </w:p>
    <w:p w14:paraId="11A5215D" w14:textId="06FDBA0A" w:rsidR="000015DF" w:rsidRDefault="000015DF" w:rsidP="000015DF">
      <w:r>
        <w:t>This is a small retrospective sample using a non-tradable price proxy. Current source snapshots may contain corrections. One unfinished event remains censored. The registered forward holdout begins on 21 August 2026.</w:t>
      </w:r>
    </w:p>
    <w:p w14:paraId="21E422DF" w14:textId="481A7AA9" w:rsidR="000015DF" w:rsidRDefault="000015DF">
      <w:pPr>
        <w:spacing w:after="160" w:line="278" w:lineRule="auto"/>
      </w:pPr>
      <w:r>
        <w:br w:type="page"/>
      </w:r>
    </w:p>
    <w:p w14:paraId="3AE08155" w14:textId="51CE6ED9" w:rsidR="000015DF" w:rsidRDefault="000015DF" w:rsidP="000015DF">
      <w:pPr>
        <w:pStyle w:val="Heading1"/>
      </w:pPr>
      <w:r>
        <w:lastRenderedPageBreak/>
        <w:t>Conditional trade rule</w:t>
      </w:r>
    </w:p>
    <w:p w14:paraId="6AC35D72" w14:textId="5E9920EE" w:rsidR="000015DF" w:rsidRDefault="000015DF" w:rsidP="000015DF">
      <w:r>
        <w:t>Entry requires a new positioning reversal, registered physical deterioration and a breakout above the prior 20 sessions' settlement high. Version 1 defines deterioration as a fall of at least 25kt in surplus or ending stocks, or at least 0.5 percentage points in stocks-to-grindings. It expires after 120 days or resets with a new visible ICCO vintage. The August design snapshot meets the physical condition, but the thresholds were chosen after the May revision was known.</w:t>
      </w:r>
    </w:p>
    <w:p w14:paraId="65550B2C" w14:textId="65E67248" w:rsidR="000015DF" w:rsidRDefault="000015DF" w:rsidP="000015DF">
      <w:r>
        <w:t>The hypothetical structure buys the first listed call at or above the licensed settlement and sells the first listed call at or above 115% of the long strike. The debit is the long ask less the short bid, capped at 40% of spread width. Exit is the earliest of 40 sessions, normalised net positioning at or above zero, normalised net below its entry level, or ten sessions before the option's last trading day. Actual evaluation needs licensed futures and option data.</w:t>
      </w:r>
    </w:p>
    <w:p w14:paraId="2B5ECFE8" w14:textId="6F5ACF52" w:rsidR="000015DF" w:rsidRDefault="000015DF" w:rsidP="000015DF">
      <w:pPr>
        <w:pStyle w:val="Heading1"/>
      </w:pPr>
      <w:r>
        <w:t>Illustrative risk and payoff</w:t>
      </w:r>
    </w:p>
    <w:p w14:paraId="1B0DB3FD" w14:textId="6C7524EE" w:rsidR="000015DF" w:rsidRDefault="000015DF" w:rsidP="000015DF">
      <w:r>
        <w:t>The workbook assumes a 5,500 long strike, a 6,350 short strike, a 300 USD/t net debit and $20 round-trip fees on a 10-tonne contract. These are illustrative inputs, not observed market quotes. Maximum loss is $3,020, maximum gain $5,480 and expiry breakeven $5,802/t. A $1m paper portfolio with a 0.5% maximum-loss budget permits one spread.</w:t>
      </w:r>
    </w:p>
    <w:p w14:paraId="32082F40" w14:textId="2A68202D" w:rsidR="000015DF" w:rsidRDefault="000015DF" w:rsidP="000015DF">
      <w:r>
        <w:t>At expiry futures prices of $4,500/t, $5,802/t and $7,200/t, net scenario P&amp;L is -$3,020, $0 and +$5,480 respectively. Early-exit values require actual option quotes. Weaker grindings, a wider surplus, renewed price weakness or fresh shorts would weaken the upside case. These scenarios are historical research examples and do not place or recommend a trade.</w:t>
      </w:r>
    </w:p>
    <w:p w14:paraId="63BEEB25" w14:textId="2E4FD045" w:rsidR="000015DF" w:rsidRDefault="000015DF" w:rsidP="000015DF">
      <w:pPr>
        <w:pStyle w:val="Heading1"/>
      </w:pPr>
      <w:r>
        <w:t>Source record</w:t>
      </w:r>
    </w:p>
    <w:p w14:paraId="5C18FFE9" w14:textId="18F32085" w:rsidR="000015DF" w:rsidRDefault="000015DF" w:rsidP="000015DF">
      <w:r>
        <w:t>CFTC eligibility follows actual or explicitly modelled release times; ICCO estimates and grinding releases retain separate vintages and source hashes. Calculations run in Python. The derived summary, frozen protocol and workbook retain the full rules and assumptions. NASA Langley Research Center POWER Project data were accessed on 20 August 2026.</w:t>
      </w:r>
    </w:p>
    <w:p w14:paraId="4777CBFD" w14:textId="59D99302" w:rsidR="000015DF" w:rsidRDefault="000015DF" w:rsidP="000015DF">
      <w:pPr>
        <w:pStyle w:val="Heading1"/>
      </w:pPr>
      <w:r>
        <w:t>Sources</w:t>
      </w:r>
    </w:p>
    <w:p w14:paraId="3E13B7E6" w14:textId="5E634060" w:rsidR="000015DF" w:rsidRPr="000015DF" w:rsidRDefault="000015DF" w:rsidP="000015DF">
      <w:pPr>
        <w:rPr>
          <w:sz w:val="18"/>
        </w:rPr>
      </w:pPr>
      <w:hyperlink r:id="rId4" w:history="1">
        <w:r>
          <w:rPr>
            <w:rStyle w:val="Hyperlink"/>
          </w:rPr>
          <w:t>Derived results and source URLs</w:t>
        </w:r>
      </w:hyperlink>
      <w:r>
        <w:rPr>
          <w:sz w:val="18"/>
        </w:rPr>
        <w:t xml:space="preserve"> | </w:t>
      </w:r>
      <w:hyperlink r:id="rId5" w:history="1">
        <w:r>
          <w:rPr>
            <w:rStyle w:val="Hyperlink"/>
          </w:rPr>
          <w:t>Registered protocol</w:t>
        </w:r>
      </w:hyperlink>
      <w:r>
        <w:rPr>
          <w:sz w:val="18"/>
        </w:rPr>
        <w:t xml:space="preserve"> | </w:t>
      </w:r>
      <w:hyperlink r:id="rId6" w:history="1">
        <w:r>
          <w:rPr>
            <w:rStyle w:val="Hyperlink"/>
          </w:rPr>
          <w:t>ICCO May vintage</w:t>
        </w:r>
      </w:hyperlink>
      <w:r>
        <w:rPr>
          <w:sz w:val="18"/>
        </w:rPr>
        <w:t xml:space="preserve"> | </w:t>
      </w:r>
      <w:hyperlink r:id="rId7" w:history="1">
        <w:r>
          <w:rPr>
            <w:rStyle w:val="Hyperlink"/>
          </w:rPr>
          <w:t>CFTC</w:t>
        </w:r>
      </w:hyperlink>
      <w:r>
        <w:rPr>
          <w:sz w:val="18"/>
        </w:rPr>
        <w:t xml:space="preserve"> | </w:t>
      </w:r>
      <w:hyperlink r:id="rId8" w:history="1">
        <w:r>
          <w:rPr>
            <w:rStyle w:val="Hyperlink"/>
          </w:rPr>
          <w:t>World Bank</w:t>
        </w:r>
      </w:hyperlink>
      <w:r>
        <w:rPr>
          <w:sz w:val="18"/>
        </w:rPr>
        <w:t xml:space="preserve"> | </w:t>
      </w:r>
      <w:hyperlink r:id="rId9" w:history="1">
        <w:r>
          <w:rPr>
            <w:rStyle w:val="Hyperlink"/>
          </w:rPr>
          <w:t>NASA POWER</w:t>
        </w:r>
      </w:hyperlink>
      <w:r>
        <w:rPr>
          <w:sz w:val="18"/>
        </w:rPr>
        <w:t xml:space="preserve"> | </w:t>
      </w:r>
      <w:hyperlink r:id="rId10" w:history="1">
        <w:r>
          <w:rPr>
            <w:rStyle w:val="Hyperlink"/>
          </w:rPr>
          <w:t>Europe grinds</w:t>
        </w:r>
      </w:hyperlink>
      <w:r>
        <w:rPr>
          <w:sz w:val="18"/>
        </w:rPr>
        <w:t xml:space="preserve"> | </w:t>
      </w:r>
      <w:hyperlink r:id="rId11" w:history="1">
        <w:r>
          <w:rPr>
            <w:rStyle w:val="Hyperlink"/>
          </w:rPr>
          <w:t>Asia grinds</w:t>
        </w:r>
      </w:hyperlink>
      <w:r>
        <w:rPr>
          <w:sz w:val="18"/>
        </w:rPr>
        <w:t xml:space="preserve"> | </w:t>
      </w:r>
      <w:hyperlink r:id="rId12" w:history="1">
        <w:r>
          <w:rPr>
            <w:rStyle w:val="Hyperlink"/>
          </w:rPr>
          <w:t>North America grinds</w:t>
        </w:r>
      </w:hyperlink>
      <w:r>
        <w:rPr>
          <w:sz w:val="18"/>
        </w:rPr>
        <w:t xml:space="preserve"> | </w:t>
      </w:r>
      <w:hyperlink r:id="rId13" w:history="1">
        <w:r>
          <w:rPr>
            <w:rStyle w:val="Hyperlink"/>
          </w:rPr>
          <w:t>Asitoakor 2022</w:t>
        </w:r>
      </w:hyperlink>
      <w:r>
        <w:rPr>
          <w:sz w:val="18"/>
        </w:rPr>
        <w:t xml:space="preserve"> | </w:t>
      </w:r>
      <w:hyperlink r:id="rId14" w:history="1">
        <w:r>
          <w:rPr>
            <w:rStyle w:val="Hyperlink"/>
          </w:rPr>
          <w:t>Montero-Sanchez 2025</w:t>
        </w:r>
      </w:hyperlink>
      <w:r>
        <w:rPr>
          <w:sz w:val="18"/>
        </w:rPr>
        <w:t xml:space="preserve"> | </w:t>
      </w:r>
      <w:hyperlink r:id="rId15" w:history="1">
        <w:r>
          <w:rPr>
            <w:rStyle w:val="Hyperlink"/>
          </w:rPr>
          <w:t>Gateau-Rey 2018</w:t>
        </w:r>
      </w:hyperlink>
    </w:p>
    <w:sectPr w:rsidR="000015DF" w:rsidRPr="000015DF" w:rsidSect="000015DF">
      <w:pgSz w:w="12240" w:h="15840"/>
      <w:pgMar w:top="940" w:right="1080" w:bottom="9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DF"/>
    <w:rsid w:val="000015DF"/>
    <w:rsid w:val="00D033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955E2"/>
  <w15:chartTrackingRefBased/>
  <w15:docId w15:val="{D703ADE1-B1D3-4CE8-8D54-E2278C81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Calibri" w:hAnsi="Calibri" w:cs="Calibri"/>
      <w:color w:val="000000"/>
      <w:sz w:val="22"/>
    </w:rPr>
  </w:style>
  <w:style w:type="paragraph" w:styleId="Heading1">
    <w:name w:val="heading 1"/>
    <w:basedOn w:val="Normal"/>
    <w:next w:val="Normal"/>
    <w:link w:val="Heading1Char"/>
    <w:uiPriority w:val="9"/>
    <w:qFormat/>
    <w:rsid w:val="000015DF"/>
    <w:pPr>
      <w:keepNext/>
      <w:keepLines/>
      <w:spacing w:before="160" w:after="80"/>
      <w:outlineLvl w:val="0"/>
    </w:pPr>
    <w:rPr>
      <w:rFonts w:eastAsiaTheme="majorEastAsia"/>
      <w:b/>
      <w:sz w:val="24"/>
      <w:szCs w:val="40"/>
    </w:rPr>
  </w:style>
  <w:style w:type="paragraph" w:styleId="Heading2">
    <w:name w:val="heading 2"/>
    <w:basedOn w:val="Normal"/>
    <w:next w:val="Normal"/>
    <w:link w:val="Heading2Char"/>
    <w:uiPriority w:val="9"/>
    <w:semiHidden/>
    <w:unhideWhenUsed/>
    <w:qFormat/>
    <w:rsid w:val="00001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5DF"/>
    <w:rPr>
      <w:rFonts w:ascii="Calibri" w:eastAsiaTheme="majorEastAsia" w:hAnsi="Calibri" w:cs="Calibri"/>
      <w:b/>
      <w:color w:val="000000"/>
      <w:szCs w:val="40"/>
    </w:rPr>
  </w:style>
  <w:style w:type="character" w:customStyle="1" w:styleId="Heading2Char">
    <w:name w:val="Heading 2 Char"/>
    <w:basedOn w:val="DefaultParagraphFont"/>
    <w:link w:val="Heading2"/>
    <w:uiPriority w:val="9"/>
    <w:semiHidden/>
    <w:rsid w:val="00001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5DF"/>
    <w:rPr>
      <w:rFonts w:eastAsiaTheme="majorEastAsia" w:cstheme="majorBidi"/>
      <w:color w:val="272727" w:themeColor="text1" w:themeTint="D8"/>
    </w:rPr>
  </w:style>
  <w:style w:type="paragraph" w:styleId="Title">
    <w:name w:val="Title"/>
    <w:basedOn w:val="Normal"/>
    <w:next w:val="Normal"/>
    <w:link w:val="TitleChar"/>
    <w:uiPriority w:val="10"/>
    <w:qFormat/>
    <w:rsid w:val="000015DF"/>
    <w:pPr>
      <w:keepNext/>
      <w:contextualSpacing/>
    </w:pPr>
    <w:rPr>
      <w:rFonts w:eastAsiaTheme="majorEastAsia"/>
      <w:b/>
      <w:spacing w:val="-10"/>
      <w:kern w:val="28"/>
      <w:sz w:val="40"/>
      <w:szCs w:val="56"/>
    </w:rPr>
  </w:style>
  <w:style w:type="character" w:customStyle="1" w:styleId="TitleChar">
    <w:name w:val="Title Char"/>
    <w:basedOn w:val="DefaultParagraphFont"/>
    <w:link w:val="Title"/>
    <w:uiPriority w:val="10"/>
    <w:rsid w:val="000015DF"/>
    <w:rPr>
      <w:rFonts w:ascii="Calibri" w:eastAsiaTheme="majorEastAsia" w:hAnsi="Calibri" w:cs="Calibri"/>
      <w:b/>
      <w:color w:val="000000"/>
      <w:spacing w:val="-10"/>
      <w:kern w:val="28"/>
      <w:sz w:val="40"/>
      <w:szCs w:val="56"/>
    </w:rPr>
  </w:style>
  <w:style w:type="paragraph" w:styleId="Subtitle">
    <w:name w:val="Subtitle"/>
    <w:basedOn w:val="Normal"/>
    <w:next w:val="Normal"/>
    <w:link w:val="SubtitleChar"/>
    <w:uiPriority w:val="11"/>
    <w:qFormat/>
    <w:rsid w:val="000015DF"/>
    <w:pPr>
      <w:keepNext/>
      <w:numPr>
        <w:ilvl w:val="1"/>
      </w:numPr>
      <w:spacing w:after="180"/>
    </w:pPr>
    <w:rPr>
      <w:rFonts w:eastAsiaTheme="majorEastAsia"/>
      <w:spacing w:val="15"/>
      <w:sz w:val="20"/>
      <w:szCs w:val="28"/>
    </w:rPr>
  </w:style>
  <w:style w:type="character" w:customStyle="1" w:styleId="SubtitleChar">
    <w:name w:val="Subtitle Char"/>
    <w:basedOn w:val="DefaultParagraphFont"/>
    <w:link w:val="Subtitle"/>
    <w:uiPriority w:val="11"/>
    <w:rsid w:val="000015DF"/>
    <w:rPr>
      <w:rFonts w:ascii="Calibri" w:eastAsiaTheme="majorEastAsia" w:hAnsi="Calibri" w:cs="Calibri"/>
      <w:color w:val="000000"/>
      <w:spacing w:val="15"/>
      <w:sz w:val="20"/>
      <w:szCs w:val="28"/>
    </w:rPr>
  </w:style>
  <w:style w:type="paragraph" w:styleId="Quote">
    <w:name w:val="Quote"/>
    <w:basedOn w:val="Normal"/>
    <w:next w:val="Normal"/>
    <w:link w:val="QuoteChar"/>
    <w:uiPriority w:val="29"/>
    <w:qFormat/>
    <w:rsid w:val="000015DF"/>
    <w:pPr>
      <w:spacing w:before="160"/>
      <w:jc w:val="center"/>
    </w:pPr>
    <w:rPr>
      <w:i/>
      <w:iCs/>
      <w:color w:val="404040" w:themeColor="text1" w:themeTint="BF"/>
    </w:rPr>
  </w:style>
  <w:style w:type="character" w:customStyle="1" w:styleId="QuoteChar">
    <w:name w:val="Quote Char"/>
    <w:basedOn w:val="DefaultParagraphFont"/>
    <w:link w:val="Quote"/>
    <w:uiPriority w:val="29"/>
    <w:rsid w:val="000015DF"/>
    <w:rPr>
      <w:i/>
      <w:iCs/>
      <w:color w:val="404040" w:themeColor="text1" w:themeTint="BF"/>
    </w:rPr>
  </w:style>
  <w:style w:type="paragraph" w:styleId="ListParagraph">
    <w:name w:val="List Paragraph"/>
    <w:basedOn w:val="Normal"/>
    <w:uiPriority w:val="34"/>
    <w:qFormat/>
    <w:rsid w:val="000015DF"/>
    <w:pPr>
      <w:ind w:left="720"/>
      <w:contextualSpacing/>
    </w:pPr>
  </w:style>
  <w:style w:type="character" w:styleId="IntenseEmphasis">
    <w:name w:val="Intense Emphasis"/>
    <w:basedOn w:val="DefaultParagraphFont"/>
    <w:uiPriority w:val="21"/>
    <w:qFormat/>
    <w:rsid w:val="000015DF"/>
    <w:rPr>
      <w:i/>
      <w:iCs/>
      <w:color w:val="0F4761" w:themeColor="accent1" w:themeShade="BF"/>
    </w:rPr>
  </w:style>
  <w:style w:type="paragraph" w:styleId="IntenseQuote">
    <w:name w:val="Intense Quote"/>
    <w:basedOn w:val="Normal"/>
    <w:next w:val="Normal"/>
    <w:link w:val="IntenseQuoteChar"/>
    <w:uiPriority w:val="30"/>
    <w:qFormat/>
    <w:rsid w:val="00001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5DF"/>
    <w:rPr>
      <w:i/>
      <w:iCs/>
      <w:color w:val="0F4761" w:themeColor="accent1" w:themeShade="BF"/>
    </w:rPr>
  </w:style>
  <w:style w:type="character" w:styleId="IntenseReference">
    <w:name w:val="Intense Reference"/>
    <w:basedOn w:val="DefaultParagraphFont"/>
    <w:uiPriority w:val="32"/>
    <w:qFormat/>
    <w:rsid w:val="000015DF"/>
    <w:rPr>
      <w:b/>
      <w:bCs/>
      <w:smallCaps/>
      <w:color w:val="0F4761" w:themeColor="accent1" w:themeShade="BF"/>
      <w:spacing w:val="5"/>
    </w:rPr>
  </w:style>
  <w:style w:type="character" w:styleId="Hyperlink">
    <w:name w:val="Hyperlink"/>
    <w:basedOn w:val="DefaultParagraphFont"/>
    <w:uiPriority w:val="99"/>
    <w:unhideWhenUsed/>
    <w:rsid w:val="000015DF"/>
    <w:rPr>
      <w:color w:val="467886" w:themeColor="hyperlink"/>
      <w:u w:val="single"/>
    </w:rPr>
  </w:style>
  <w:style w:type="character" w:styleId="UnresolvedMention">
    <w:name w:val="Unresolved Mention"/>
    <w:basedOn w:val="DefaultParagraphFont"/>
    <w:uiPriority w:val="99"/>
    <w:semiHidden/>
    <w:unhideWhenUsed/>
    <w:rsid w:val="00001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docs.worldbank.org/en/doc/74e8be41ceb20fa0da750cda2f6b9e4e-0050012026/related/CMO-Historical-Data-Monthly.xlsx" TargetMode="External"/><Relationship Id="rId13" Type="http://schemas.openxmlformats.org/officeDocument/2006/relationships/hyperlink" Target="https://cocoasoils.org/wp-content/uploads/2022/10/Asitoakor-et-al.-2022..pdf" TargetMode="External"/><Relationship Id="rId3" Type="http://schemas.openxmlformats.org/officeDocument/2006/relationships/webSettings" Target="webSettings.xml"/><Relationship Id="rId7" Type="http://schemas.openxmlformats.org/officeDocument/2006/relationships/hyperlink" Target="https://www.cftc.gov/MarketReports/CommitmentsofTraders/index.htm" TargetMode="External"/><Relationship Id="rId12" Type="http://schemas.openxmlformats.org/officeDocument/2006/relationships/hyperlink" Target="https://candyusa.com/wordpress/wp-content/uploads/2026/07/Q2-2026-Cocoa-Grinds.pdf"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icco.org/may-2026-quarterly-bulletin-of-cocoa-statistics/" TargetMode="External"/><Relationship Id="rId11" Type="http://schemas.openxmlformats.org/officeDocument/2006/relationships/hyperlink" Target="https://www.cocoaasia.org/_files/ugd/fba979_7e8a5c99b5474b05b1b03cbd363163c8.pdf" TargetMode="External"/><Relationship Id="rId5" Type="http://schemas.openxmlformats.org/officeDocument/2006/relationships/hyperlink" Target="https://github.com/ebrahimcahlon212-sketch/cocoa-positioning-regime-study/blob/main/PREREGISTRATION.md" TargetMode="External"/><Relationship Id="rId15" Type="http://schemas.openxmlformats.org/officeDocument/2006/relationships/hyperlink" Target="https://journals.plos.org/plosone/article?id=10.1371%2Fjournal.pone.0200454" TargetMode="External"/><Relationship Id="rId10" Type="http://schemas.openxmlformats.org/officeDocument/2006/relationships/hyperlink" Target="https://www.eurococoa.com/wp-content/uploads/WEBSITE-REPORT-WESTERN-STATS-Q2-2026.pdf" TargetMode="External"/><Relationship Id="rId4" Type="http://schemas.openxmlformats.org/officeDocument/2006/relationships/hyperlink" Target="https://github.com/ebrahimcahlon212-sketch/cocoa-positioning-regime-study/blob/main/data/derived/trading_case_summary.json" TargetMode="External"/><Relationship Id="rId9" Type="http://schemas.openxmlformats.org/officeDocument/2006/relationships/hyperlink" Target="https://power.larc.nasa.gov/" TargetMode="External"/><Relationship Id="rId14" Type="http://schemas.openxmlformats.org/officeDocument/2006/relationships/hyperlink" Target="https://www.cambridge.org/core/journals/experimental-agriculture/article/effects-of-climate-and-withintree-competition-on-cocoa-pod-production-in-ghana/2F9415457E7C6E28FC01F050F4A704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749</Words>
  <Characters>4113</Characters>
  <Application>Microsoft Office Word</Application>
  <DocSecurity>0</DocSecurity>
  <Lines>60</Lines>
  <Paragraphs>23</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Ebrahim Cahlon</dc:creator>
  <cp:keywords/>
  <dc:description/>
  <cp:lastModifiedBy>Ebrahim Cahlon</cp:lastModifiedBy>
  <cp:revision>2</cp:revision>
  <cp:lastPrinted>2026-09-16T15:40:00Z</cp:lastPrinted>
  <dcterms:created xsi:type="dcterms:W3CDTF">2026-09-16T15:40:00Z</dcterms:created>
  <dcterms:modified xsi:type="dcterms:W3CDTF">2026-09-16T15:40:00Z</dcterms:modified>
</cp:coreProperties>
</file>