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97D4" w14:textId="0425C08D" w:rsidR="00B54011" w:rsidRDefault="00B54011" w:rsidP="00B54011">
      <w:pPr>
        <w:pStyle w:val="Title"/>
      </w:pPr>
      <w:r>
        <w:t>Credit linked notes and bond repacks</w:t>
      </w:r>
    </w:p>
    <w:p w14:paraId="5D24FF00" w14:textId="6F577A37" w:rsidR="00B54011" w:rsidRDefault="00B54011" w:rsidP="00B54011">
      <w:pPr>
        <w:pStyle w:val="Subtitle"/>
      </w:pPr>
      <w:r>
        <w:t>Model note | Hypothetical examples dated 24 August 2026</w:t>
      </w:r>
    </w:p>
    <w:p w14:paraId="1C78D296" w14:textId="62338C92" w:rsidR="00B54011" w:rsidRDefault="00B54011" w:rsidP="00B54011">
      <w:pPr>
        <w:pStyle w:val="Heading1"/>
      </w:pPr>
      <w:r>
        <w:t>Purpose</w:t>
      </w:r>
    </w:p>
    <w:p w14:paraId="3F7B9686" w14:textId="5B6562A4" w:rsidR="00B54011" w:rsidRDefault="00B54011" w:rsidP="00B54011">
      <w:r>
        <w:t>Credit Structuring Lab models quarterly expected cash flows for a funded credit-linked note (CLN) and a simple bond repack. Python calculates fair coupons, investor values, issuer residuals, named scenarios and spread/recovery sensitivities. An Excel workbook presents the same calculations for review. The examples use hypothetical inputs and do not represent market quotes.</w:t>
      </w:r>
    </w:p>
    <w:p w14:paraId="3F75C0F1" w14:textId="45164E3B" w:rsidR="00B54011" w:rsidRDefault="00B54011" w:rsidP="00B54011">
      <w:r>
        <w:t>The two fair-coupon targets differ. For a CLN, the coupon makes investor NPV zero at the issue price. For a repack, it makes the issuer or special purpose vehicle (SPV) residual zero after buying the reference bond, paying the note and deducting operating fees.</w:t>
      </w:r>
    </w:p>
    <w:p w14:paraId="10EACA87" w14:textId="1A6868B9" w:rsidR="00B54011" w:rsidRDefault="00B54011" w:rsidP="00B54011">
      <w:pPr>
        <w:pStyle w:val="Heading1"/>
      </w:pPr>
      <w:r>
        <w:t>CLN example</w:t>
      </w:r>
    </w:p>
    <w:p w14:paraId="644090FB" w14:textId="4FF34A77" w:rsidR="00B54011" w:rsidRDefault="00B54011" w:rsidP="00B54011">
      <w:r>
        <w:t>The five-year note has £1,000,000 notional, issue price 100, annual coupon 7.25%, credit spread 275 bp, recovery 40% and a flat 4.25% discount rate. Constant hazard is 4.583%; survival to maturity is 79.520%. The 20.480% cumulative default probability is implied by the model assumptions, not a forecast of realised default.</w:t>
      </w:r>
    </w:p>
    <w:p w14:paraId="1DB66720" w14:textId="640890C4" w:rsidR="00B54011" w:rsidRDefault="00B54011" w:rsidP="00B54011">
      <w:r>
        <w:t>Expected discounted note payments total £1,006,487.35. Investor value is 100.649 per 100 notional, investor NPV is £6,487.35, and the fair annual coupon is 7.088%. Issuer NPV is the opposite of investor NPV because this CLN calculation contains only the note leg.</w:t>
      </w:r>
    </w:p>
    <w:p w14:paraId="0DA19D1E" w14:textId="244BF24B" w:rsidR="00B54011" w:rsidRDefault="00B54011" w:rsidP="00B54011">
      <w:r>
        <w:t>The named scenarios also change the discount rate. At 175 bp spread and 3.75% discounting, value is 107.162 and the fair coupon is 5.552%. At 450 bp and 4.75%, they are 92.043 and 9.411%. The stress case combines 700 bp spread, 20% recovery and 5.25% discounting: value is 81.526 and the fair coupon is 12.479%. These are joint scenarios, not isolated spread sensitivities.</w:t>
      </w:r>
    </w:p>
    <w:p w14:paraId="211EAD5D" w14:textId="30ED8002" w:rsidR="00B54011" w:rsidRDefault="00B54011" w:rsidP="00B54011">
      <w:pPr>
        <w:pStyle w:val="Heading1"/>
      </w:pPr>
      <w:r>
        <w:t>Repack example</w:t>
      </w:r>
    </w:p>
    <w:p w14:paraId="23C64304" w14:textId="5C7FC6D8" w:rsidR="00B54011" w:rsidRDefault="00B54011" w:rsidP="00B54011">
      <w:r>
        <w:t>The five-year repack issues £1,000,000 face amount at 97.5 and buys the same face amount of a reference bond at 97. The bond pays 5.25%, the note pays 5.10%, and the annual operating fee is 15 bp. Spread is 250 bp, recovery 40%, and discounting 3.5%. The asset and note share the model's default and recovery assumptions.</w:t>
      </w:r>
    </w:p>
    <w:p w14:paraId="64D72282" w14:textId="26AE5474" w:rsidR="00B54011" w:rsidRDefault="00B54011" w:rsidP="00B54011">
      <w:r>
        <w:t>At the stated 5.10% coupon, the £5,000 initial price difference remains as the SPV residual NPV: expected asset coupon less note coupon funds the fee. Raising the note coupon to 5.222% sets that residual to zero. The original note's investor value is 96.029 per 100, below its 97.5 issue price. Zero SPV residual and zero investor NPV are separate conditions.</w:t>
      </w:r>
    </w:p>
    <w:p w14:paraId="2FCE3DA0" w14:textId="161EF3E7" w:rsidR="00B54011" w:rsidRDefault="00B54011">
      <w:pPr>
        <w:spacing w:after="160" w:line="278" w:lineRule="auto"/>
      </w:pPr>
      <w:r>
        <w:br w:type="page"/>
      </w:r>
    </w:p>
    <w:p w14:paraId="3C7F910D" w14:textId="04EC790B" w:rsidR="00B54011" w:rsidRDefault="00B54011" w:rsidP="00B54011">
      <w:pPr>
        <w:pStyle w:val="Heading1"/>
      </w:pPr>
      <w:r>
        <w:lastRenderedPageBreak/>
        <w:t>Calculation and settlement</w:t>
      </w:r>
    </w:p>
    <w:p w14:paraId="47C269B4" w14:textId="15EC596C" w:rsidR="00B54011" w:rsidRDefault="00B54011" w:rsidP="00B54011">
      <w:r>
        <w:t>The model uses hazard = spread / (1 - recovery), with spread and recovery in decimal units. Survival at time t is exp(-hazard × t); discounting is exp(-rate × t). Each quarter's default probability is the fall in survival since the previous quarter. Expected note payments combine survival-weighted coupon, recovery on that quarter's defaults and principal on survival to maturity.</w:t>
      </w:r>
    </w:p>
    <w:p w14:paraId="5A8746A2" w14:textId="26A6F537" w:rsidR="00B54011" w:rsidRDefault="00B54011" w:rsidP="00B54011">
      <w:r>
        <w:t>Dates advance by three calendar months, with accrual fixed at 0.25 and no holiday adjustment. Expected recovery is paid on the quarterly payment date; the default interval earns no accrued coupon. Separate undiscounted event paths pay coupons strictly before the event and recovery on the first quarterly date strictly after it. Default on a coupon date forfeits that coupon, and default at maturity settles one quarter later.</w:t>
      </w:r>
    </w:p>
    <w:p w14:paraId="7A3CC1B3" w14:textId="33C2682F" w:rsidR="00B54011" w:rsidRDefault="00B54011" w:rsidP="00B54011">
      <w:r>
        <w:t>The spread/recovery grid recalculates hazard at every point. A change in recovery therefore changes both loss severity and hazard; it is not a recovery sensitivity at constant hazard. Event paths report payments and net cash flow, without XIRR or event probabilities.</w:t>
      </w:r>
    </w:p>
    <w:p w14:paraId="258E1720" w14:textId="5719E544" w:rsidR="00B54011" w:rsidRDefault="00B54011" w:rsidP="00B54011">
      <w:pPr>
        <w:pStyle w:val="Heading1"/>
      </w:pPr>
      <w:r>
        <w:t>Checks and limitations</w:t>
      </w:r>
    </w:p>
    <w:p w14:paraId="39879EFF" w14:textId="3F0D2DE8" w:rsidR="00B54011" w:rsidRDefault="00B54011" w:rsidP="00B54011">
      <w:r>
        <w:t>Checks cover total probability, decreasing survival, schedule length, cash-flow reconciliation, the fair-coupon NPV target and finite outputs. Unit tests cover settlement, spread direction, repack coupons, SQLite comparisons and CLI files. JSON inputs, full outputs and the technical reference allow the figures to be reproduced. These checks test internal consistency; they do not establish market calibration.</w:t>
      </w:r>
    </w:p>
    <w:p w14:paraId="59244BCC" w14:textId="2C745E65" w:rsidR="00B54011" w:rsidRDefault="00B54011" w:rsidP="00B54011">
      <w:r>
        <w:t>The model omits calibrated CDS and discount curves, issuer and counterparty default, collateral returns, hedge costs, liquidity, bid-offer and funding adjustments. The repack omits swaps, currency conversion, options, liquidation, margining and payment waterfalls. Recovery is deterministic. Capital, tax, accounting and legal settlement interpretation are outside scope. There is no live market feed or independent price verification.</w:t>
      </w:r>
    </w:p>
    <w:p w14:paraId="0D2FDBD3" w14:textId="0010EA20" w:rsidR="00B54011" w:rsidRDefault="00B54011" w:rsidP="00B54011">
      <w:pPr>
        <w:pStyle w:val="Heading1"/>
      </w:pPr>
      <w:r>
        <w:t>Sources</w:t>
      </w:r>
    </w:p>
    <w:p w14:paraId="26EB4FAB" w14:textId="5843B807" w:rsidR="00B54011" w:rsidRPr="00B54011" w:rsidRDefault="00B54011" w:rsidP="00B54011">
      <w:pPr>
        <w:rPr>
          <w:sz w:val="18"/>
        </w:rPr>
      </w:pPr>
      <w:hyperlink r:id="rId4" w:history="1">
        <w:r>
          <w:rPr>
            <w:rStyle w:val="Hyperlink"/>
          </w:rPr>
          <w:t>CLN inputs and scenario assumptions</w:t>
        </w:r>
      </w:hyperlink>
      <w:r>
        <w:rPr>
          <w:sz w:val="18"/>
        </w:rPr>
        <w:t xml:space="preserve"> | </w:t>
      </w:r>
      <w:hyperlink r:id="rId5" w:history="1">
        <w:r>
          <w:rPr>
            <w:rStyle w:val="Hyperlink"/>
          </w:rPr>
          <w:t>CLN results</w:t>
        </w:r>
      </w:hyperlink>
      <w:r>
        <w:rPr>
          <w:sz w:val="18"/>
        </w:rPr>
        <w:t xml:space="preserve"> | </w:t>
      </w:r>
      <w:hyperlink r:id="rId6" w:history="1">
        <w:r>
          <w:rPr>
            <w:rStyle w:val="Hyperlink"/>
          </w:rPr>
          <w:t>Repack inputs and results</w:t>
        </w:r>
      </w:hyperlink>
      <w:r>
        <w:rPr>
          <w:sz w:val="18"/>
        </w:rPr>
        <w:t xml:space="preserve"> | </w:t>
      </w:r>
      <w:hyperlink r:id="rId7" w:history="1">
        <w:r>
          <w:rPr>
            <w:rStyle w:val="Hyperlink"/>
          </w:rPr>
          <w:t>Calculation and settlement code</w:t>
        </w:r>
      </w:hyperlink>
    </w:p>
    <w:sectPr w:rsidR="00B54011" w:rsidRPr="00B54011" w:rsidSect="00B54011">
      <w:pgSz w:w="12240" w:h="15840"/>
      <w:pgMar w:top="940" w:right="1080" w:bottom="9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11"/>
    <w:rsid w:val="00B54011"/>
    <w:rsid w:val="00E85C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548023"/>
  <w15:chartTrackingRefBased/>
  <w15:docId w15:val="{D4D7D8C9-BC94-4629-9373-07185AA4D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Calibri" w:hAnsi="Calibri" w:cs="Calibri"/>
      <w:color w:val="000000"/>
      <w:sz w:val="22"/>
    </w:rPr>
  </w:style>
  <w:style w:type="paragraph" w:styleId="Heading1">
    <w:name w:val="heading 1"/>
    <w:basedOn w:val="Normal"/>
    <w:next w:val="Normal"/>
    <w:link w:val="Heading1Char"/>
    <w:uiPriority w:val="9"/>
    <w:qFormat/>
    <w:rsid w:val="00B54011"/>
    <w:pPr>
      <w:keepNext/>
      <w:keepLines/>
      <w:spacing w:before="160" w:after="80"/>
      <w:outlineLvl w:val="0"/>
    </w:pPr>
    <w:rPr>
      <w:rFonts w:eastAsiaTheme="majorEastAsia"/>
      <w:b/>
      <w:sz w:val="24"/>
      <w:szCs w:val="40"/>
    </w:rPr>
  </w:style>
  <w:style w:type="paragraph" w:styleId="Heading2">
    <w:name w:val="heading 2"/>
    <w:basedOn w:val="Normal"/>
    <w:next w:val="Normal"/>
    <w:link w:val="Heading2Char"/>
    <w:uiPriority w:val="9"/>
    <w:semiHidden/>
    <w:unhideWhenUsed/>
    <w:qFormat/>
    <w:rsid w:val="00B54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11"/>
    <w:rPr>
      <w:rFonts w:ascii="Calibri" w:eastAsiaTheme="majorEastAsia" w:hAnsi="Calibri" w:cs="Calibri"/>
      <w:b/>
      <w:color w:val="000000"/>
      <w:szCs w:val="40"/>
    </w:rPr>
  </w:style>
  <w:style w:type="character" w:customStyle="1" w:styleId="Heading2Char">
    <w:name w:val="Heading 2 Char"/>
    <w:basedOn w:val="DefaultParagraphFont"/>
    <w:link w:val="Heading2"/>
    <w:uiPriority w:val="9"/>
    <w:semiHidden/>
    <w:rsid w:val="00B54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011"/>
    <w:rPr>
      <w:rFonts w:eastAsiaTheme="majorEastAsia" w:cstheme="majorBidi"/>
      <w:color w:val="272727" w:themeColor="text1" w:themeTint="D8"/>
    </w:rPr>
  </w:style>
  <w:style w:type="paragraph" w:styleId="Title">
    <w:name w:val="Title"/>
    <w:basedOn w:val="Normal"/>
    <w:next w:val="Normal"/>
    <w:link w:val="TitleChar"/>
    <w:uiPriority w:val="10"/>
    <w:qFormat/>
    <w:rsid w:val="00B54011"/>
    <w:pPr>
      <w:keepNext/>
      <w:contextualSpacing/>
    </w:pPr>
    <w:rPr>
      <w:rFonts w:eastAsiaTheme="majorEastAsia"/>
      <w:b/>
      <w:spacing w:val="-10"/>
      <w:kern w:val="28"/>
      <w:sz w:val="40"/>
      <w:szCs w:val="56"/>
    </w:rPr>
  </w:style>
  <w:style w:type="character" w:customStyle="1" w:styleId="TitleChar">
    <w:name w:val="Title Char"/>
    <w:basedOn w:val="DefaultParagraphFont"/>
    <w:link w:val="Title"/>
    <w:uiPriority w:val="10"/>
    <w:rsid w:val="00B54011"/>
    <w:rPr>
      <w:rFonts w:ascii="Calibri" w:eastAsiaTheme="majorEastAsia" w:hAnsi="Calibri" w:cs="Calibri"/>
      <w:b/>
      <w:color w:val="000000"/>
      <w:spacing w:val="-10"/>
      <w:kern w:val="28"/>
      <w:sz w:val="40"/>
      <w:szCs w:val="56"/>
    </w:rPr>
  </w:style>
  <w:style w:type="paragraph" w:styleId="Subtitle">
    <w:name w:val="Subtitle"/>
    <w:basedOn w:val="Normal"/>
    <w:next w:val="Normal"/>
    <w:link w:val="SubtitleChar"/>
    <w:uiPriority w:val="11"/>
    <w:qFormat/>
    <w:rsid w:val="00B54011"/>
    <w:pPr>
      <w:keepNext/>
      <w:numPr>
        <w:ilvl w:val="1"/>
      </w:numPr>
      <w:spacing w:after="180"/>
    </w:pPr>
    <w:rPr>
      <w:rFonts w:eastAsiaTheme="majorEastAsia"/>
      <w:spacing w:val="15"/>
      <w:sz w:val="20"/>
      <w:szCs w:val="28"/>
    </w:rPr>
  </w:style>
  <w:style w:type="character" w:customStyle="1" w:styleId="SubtitleChar">
    <w:name w:val="Subtitle Char"/>
    <w:basedOn w:val="DefaultParagraphFont"/>
    <w:link w:val="Subtitle"/>
    <w:uiPriority w:val="11"/>
    <w:rsid w:val="00B54011"/>
    <w:rPr>
      <w:rFonts w:ascii="Calibri" w:eastAsiaTheme="majorEastAsia" w:hAnsi="Calibri" w:cs="Calibri"/>
      <w:color w:val="000000"/>
      <w:spacing w:val="15"/>
      <w:sz w:val="20"/>
      <w:szCs w:val="28"/>
    </w:rPr>
  </w:style>
  <w:style w:type="paragraph" w:styleId="Quote">
    <w:name w:val="Quote"/>
    <w:basedOn w:val="Normal"/>
    <w:next w:val="Normal"/>
    <w:link w:val="QuoteChar"/>
    <w:uiPriority w:val="29"/>
    <w:qFormat/>
    <w:rsid w:val="00B54011"/>
    <w:pPr>
      <w:spacing w:before="160"/>
      <w:jc w:val="center"/>
    </w:pPr>
    <w:rPr>
      <w:i/>
      <w:iCs/>
      <w:color w:val="404040" w:themeColor="text1" w:themeTint="BF"/>
    </w:rPr>
  </w:style>
  <w:style w:type="character" w:customStyle="1" w:styleId="QuoteChar">
    <w:name w:val="Quote Char"/>
    <w:basedOn w:val="DefaultParagraphFont"/>
    <w:link w:val="Quote"/>
    <w:uiPriority w:val="29"/>
    <w:rsid w:val="00B54011"/>
    <w:rPr>
      <w:i/>
      <w:iCs/>
      <w:color w:val="404040" w:themeColor="text1" w:themeTint="BF"/>
    </w:rPr>
  </w:style>
  <w:style w:type="paragraph" w:styleId="ListParagraph">
    <w:name w:val="List Paragraph"/>
    <w:basedOn w:val="Normal"/>
    <w:uiPriority w:val="34"/>
    <w:qFormat/>
    <w:rsid w:val="00B54011"/>
    <w:pPr>
      <w:ind w:left="720"/>
      <w:contextualSpacing/>
    </w:pPr>
  </w:style>
  <w:style w:type="character" w:styleId="IntenseEmphasis">
    <w:name w:val="Intense Emphasis"/>
    <w:basedOn w:val="DefaultParagraphFont"/>
    <w:uiPriority w:val="21"/>
    <w:qFormat/>
    <w:rsid w:val="00B54011"/>
    <w:rPr>
      <w:i/>
      <w:iCs/>
      <w:color w:val="0F4761" w:themeColor="accent1" w:themeShade="BF"/>
    </w:rPr>
  </w:style>
  <w:style w:type="paragraph" w:styleId="IntenseQuote">
    <w:name w:val="Intense Quote"/>
    <w:basedOn w:val="Normal"/>
    <w:next w:val="Normal"/>
    <w:link w:val="IntenseQuoteChar"/>
    <w:uiPriority w:val="30"/>
    <w:qFormat/>
    <w:rsid w:val="00B54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011"/>
    <w:rPr>
      <w:i/>
      <w:iCs/>
      <w:color w:val="0F4761" w:themeColor="accent1" w:themeShade="BF"/>
    </w:rPr>
  </w:style>
  <w:style w:type="character" w:styleId="IntenseReference">
    <w:name w:val="Intense Reference"/>
    <w:basedOn w:val="DefaultParagraphFont"/>
    <w:uiPriority w:val="32"/>
    <w:qFormat/>
    <w:rsid w:val="00B54011"/>
    <w:rPr>
      <w:b/>
      <w:bCs/>
      <w:smallCaps/>
      <w:color w:val="0F4761" w:themeColor="accent1" w:themeShade="BF"/>
      <w:spacing w:val="5"/>
    </w:rPr>
  </w:style>
  <w:style w:type="character" w:styleId="Hyperlink">
    <w:name w:val="Hyperlink"/>
    <w:basedOn w:val="DefaultParagraphFont"/>
    <w:uiPriority w:val="99"/>
    <w:unhideWhenUsed/>
    <w:rsid w:val="00B54011"/>
    <w:rPr>
      <w:color w:val="467886" w:themeColor="hyperlink"/>
      <w:u w:val="single"/>
    </w:rPr>
  </w:style>
  <w:style w:type="character" w:styleId="UnresolvedMention">
    <w:name w:val="Unresolved Mention"/>
    <w:basedOn w:val="DefaultParagraphFont"/>
    <w:uiPriority w:val="99"/>
    <w:semiHidden/>
    <w:unhideWhenUsed/>
    <w:rsid w:val="00B54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ebrahimcahlon212-sketch/credit-structuring-lab/blob/77a6bcad2a77dfd0c0f537b4fe77daedacf04b00/src/credit_structuring_lab/model.p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ebrahimcahlon212-sketch/credit-structuring-lab/blob/77a6bcad2a77dfd0c0f537b4fe77daedacf04b00/outputs/repack_case_results.json" TargetMode="External"/><Relationship Id="rId5" Type="http://schemas.openxmlformats.org/officeDocument/2006/relationships/hyperlink" Target="https://github.com/ebrahimcahlon212-sketch/credit-structuring-lab/blob/77a6bcad2a77dfd0c0f537b4fe77daedacf04b00/outputs/base_case_results.json" TargetMode="External"/><Relationship Id="rId4" Type="http://schemas.openxmlformats.org/officeDocument/2006/relationships/hyperlink" Target="https://github.com/ebrahimcahlon212-sketch/credit-structuring-lab/blob/77a6bcad2a77dfd0c0f537b4fe77daedacf04b00/examples/base_case.js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691</Words>
  <Characters>3815</Characters>
  <Application>Microsoft Office Word</Application>
  <DocSecurity>0</DocSecurity>
  <Lines>53</Lines>
  <Paragraphs>21</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Ebrahim Cahlon</dc:creator>
  <cp:keywords/>
  <dc:description/>
  <cp:lastModifiedBy>Ebrahim Cahlon</cp:lastModifiedBy>
  <cp:revision>2</cp:revision>
  <cp:lastPrinted>2026-09-16T15:36:00Z</cp:lastPrinted>
  <dcterms:created xsi:type="dcterms:W3CDTF">2026-09-16T15:36:00Z</dcterms:created>
  <dcterms:modified xsi:type="dcterms:W3CDTF">2026-09-16T15:36:00Z</dcterms:modified>
</cp:coreProperties>
</file>