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Texas Title V Air Quality Compliance – Comprehensive Process Guide</w:t>
      </w:r>
    </w:p>
    <w:p>
      <w:pPr/>
      <w:r>
        <w:t>Version: December 1, 2025 | Prepared for interactive AI/RAG automation with human-in-the-loop</w:t>
      </w:r>
    </w:p>
    <w:p>
      <w:pPr>
        <w:pStyle w:val="Heading1"/>
      </w:pPr>
      <w:r>
        <w:t>PART 1: APPLICABILITY DETERMINATION</w:t>
      </w:r>
    </w:p>
    <w:p>
      <w:pPr>
        <w:pStyle w:val="Heading2"/>
      </w:pPr>
      <w:r>
        <w:t>1.1 Major Source Thresholds (40 CFR 70.2; 30 TAC 122.10)</w:t>
      </w:r>
    </w:p>
    <w:p>
      <w:pPr>
        <w:pStyle w:val="Heading3"/>
      </w:pPr>
      <w:r>
        <w:t>1.1.1 Calculate Potential to Emit (PTE)</w:t>
      </w:r>
    </w:p>
    <w:p>
      <w:r>
        <w:t>Definition: Maximum capacity to emit a pollutant under physical and operational design.</w:t>
      </w:r>
    </w:p>
    <w:p>
      <w:r>
        <w:t>Time basis: tons per year (tpy).</w:t>
      </w:r>
    </w:p>
    <w:p>
      <w:r>
        <w:t>Formula: PTE = Maximum Rate × Hours of Operation × Conversion Factor.</w:t>
      </w:r>
    </w:p>
    <w:p>
      <w:pPr>
        <w:pStyle w:val="Heading3"/>
      </w:pPr>
      <w:r>
        <w:t>1.1.2 Major Source Criteria</w:t>
      </w:r>
    </w:p>
    <w:p>
      <w:r>
        <w:t>Attainment Areas:</w:t>
      </w:r>
    </w:p>
    <w:p>
      <w:pPr>
        <w:pStyle w:val="ListBullet"/>
      </w:pPr>
      <w:r>
        <w:t>100 tpy of any criteria pollutant</w:t>
      </w:r>
    </w:p>
    <w:p>
      <w:pPr>
        <w:pStyle w:val="ListBullet"/>
      </w:pPr>
      <w:r>
        <w:t>10 tpy of any single HAP</w:t>
      </w:r>
    </w:p>
    <w:p>
      <w:pPr>
        <w:pStyle w:val="ListBullet"/>
      </w:pPr>
      <w:r>
        <w:t>25 tpy of total HAPs</w:t>
      </w:r>
    </w:p>
    <w:p>
      <w:r>
        <w:t>Nonattainment Areas (varies by pollutant/severity):</w:t>
      </w:r>
    </w:p>
    <w:p>
      <w:pPr>
        <w:pStyle w:val="ListBullet"/>
      </w:pPr>
      <w:r>
        <w:t>Ozone (Serious): 50 tpy VOC or NOx</w:t>
      </w:r>
    </w:p>
    <w:p>
      <w:pPr>
        <w:pStyle w:val="ListBullet"/>
      </w:pPr>
      <w:r>
        <w:t>Ozone (Severe): 25 tpy VOC or NOx</w:t>
      </w:r>
    </w:p>
    <w:p>
      <w:pPr>
        <w:pStyle w:val="ListBullet"/>
      </w:pPr>
      <w:r>
        <w:t>Ozone (Extreme): 10 tpy VOC or NOx</w:t>
      </w:r>
    </w:p>
    <w:p>
      <w:pPr>
        <w:pStyle w:val="ListBullet"/>
      </w:pPr>
      <w:r>
        <w:t>PM-10 (Serious): 70 tpy</w:t>
      </w:r>
    </w:p>
    <w:p>
      <w:pPr>
        <w:pStyle w:val="ListBullet"/>
      </w:pPr>
      <w:r>
        <w:t>CO (Serious): 50 tpy</w:t>
      </w:r>
    </w:p>
    <w:p>
      <w:pPr>
        <w:pStyle w:val="Heading3"/>
      </w:pPr>
      <w:r>
        <w:t>1.1.3 Other Title V Sources</w:t>
      </w:r>
    </w:p>
    <w:p>
      <w:pPr>
        <w:pStyle w:val="ListBullet"/>
      </w:pPr>
      <w:r>
        <w:t>Subject to NSPS (40 CFR Part 60)</w:t>
      </w:r>
    </w:p>
    <w:p>
      <w:pPr>
        <w:pStyle w:val="ListBullet"/>
      </w:pPr>
      <w:r>
        <w:t>Subject to NESHAP (40 CFR Parts 61, 63)</w:t>
      </w:r>
    </w:p>
    <w:p>
      <w:pPr>
        <w:pStyle w:val="ListBullet"/>
      </w:pPr>
      <w:r>
        <w:t>Affected source under Acid Rain Program (40 CFR Part 72)</w:t>
      </w:r>
    </w:p>
    <w:p>
      <w:pPr>
        <w:pStyle w:val="ListBullet"/>
      </w:pPr>
      <w:r>
        <w:t>Solid waste incineration units (certain 40 CFR Part 60 subparts)</w:t>
      </w:r>
    </w:p>
    <w:p>
      <w:pPr>
        <w:pStyle w:val="Heading2"/>
      </w:pPr>
      <w:r>
        <w:t>1.2 Emission Unit Inventory</w:t>
      </w:r>
    </w:p>
    <w:p>
      <w:pPr>
        <w:pStyle w:val="ListNumber"/>
      </w:pPr>
      <w:r>
        <w:t>Identify all emission units (combustion, process equipment, tanks, loading, fugitives, emergency equipment).</w:t>
      </w:r>
    </w:p>
    <w:p>
      <w:pPr>
        <w:pStyle w:val="ListNumber"/>
      </w:pPr>
      <w:r>
        <w:t>For each unit, capture equipment type/specs, fuel/type/quality, maximum capacity/throughput, operating hours, control equipment.</w:t>
      </w:r>
    </w:p>
    <w:p>
      <w:pPr>
        <w:pStyle w:val="Heading2"/>
      </w:pPr>
      <w:r>
        <w:t>1.3 Emissions Calculations</w:t>
      </w:r>
    </w:p>
    <w:p>
      <w:r>
        <w:t>Use data in the following hierarchy: CEMS, source tests, material balance, AP-42 factors, manufacturer data.</w:t>
      </w:r>
    </w:p>
    <w:p>
      <w:pPr>
        <w:pStyle w:val="Heading3"/>
      </w:pPr>
      <w:r>
        <w:t>Example – Natural Gas Boiler</w:t>
      </w:r>
    </w:p>
    <w:p>
      <w:r>
        <w:t>Heat Input: 100 MMBtu/hr; Operating Hours: 8,760 hr/yr; NOx EF: 0.1 lb/MMBtu. NOx Emissions = 43.8 tpy.</w:t>
      </w:r>
    </w:p>
    <w:p>
      <w:pPr>
        <w:pStyle w:val="Heading3"/>
      </w:pPr>
      <w:r>
        <w:t>1.3.2 Storage Tanks</w:t>
      </w:r>
    </w:p>
    <w:p>
      <w:r>
        <w:t>Use AP-42 Chapter 7 methods or approved software. Consider standing/working/breathing losses or floating-roof losses.</w:t>
      </w:r>
    </w:p>
    <w:p>
      <w:pPr>
        <w:pStyle w:val="Heading3"/>
      </w:pPr>
      <w:r>
        <w:t>1.3.3 Fugitive Emissions</w:t>
      </w:r>
    </w:p>
    <w:p>
      <w:r>
        <w:t>Use EPA leak protocols; component counts by service and LDAR level.</w:t>
      </w:r>
    </w:p>
    <w:p>
      <w:pPr>
        <w:pStyle w:val="Heading2"/>
      </w:pPr>
      <w:r>
        <w:t>1.4 Exemptions and Exclusions</w:t>
      </w:r>
    </w:p>
    <w:p>
      <w:pPr>
        <w:pStyle w:val="Heading3"/>
      </w:pPr>
      <w:r>
        <w:t>1.4.1 Synthetic Minor Source (30 TAC 122.120)</w:t>
      </w:r>
    </w:p>
    <w:p>
      <w:r>
        <w:t>Use federally enforceable limits below major thresholds with monitoring, recordkeeping, and reporting.</w:t>
      </w:r>
    </w:p>
    <w:p>
      <w:pPr>
        <w:pStyle w:val="Heading3"/>
      </w:pPr>
      <w:r>
        <w:t>1.4.2 Insignificant Activities (30 TAC 122.120)</w:t>
      </w:r>
    </w:p>
    <w:p>
      <w:r>
        <w:t>Categorically insignificant or de minimis activities must still be identified when relevant.</w:t>
      </w:r>
    </w:p>
    <w:p>
      <w:pPr>
        <w:pStyle w:val="Heading1"/>
      </w:pPr>
      <w:r>
        <w:t>PART 2: APPLICABLE REQUIREMENTS IDENTIFICATION</w:t>
      </w:r>
    </w:p>
    <w:p>
      <w:pPr>
        <w:pStyle w:val="Heading2"/>
      </w:pPr>
      <w:r>
        <w:t>2.1 Federal Requirements Matrix</w:t>
      </w:r>
    </w:p>
    <w:p>
      <w:pPr>
        <w:pStyle w:val="ListBullet"/>
      </w:pPr>
      <w:r>
        <w:t>NAAQS context for criteria pollutants</w:t>
      </w:r>
    </w:p>
    <w:p>
      <w:pPr>
        <w:pStyle w:val="ListBullet"/>
      </w:pPr>
      <w:r>
        <w:t>NSPS (Part 60) subparts including A, Dc/Db, IIII/JJJJ, Kb, VVa (as applicable)</w:t>
      </w:r>
    </w:p>
    <w:p>
      <w:pPr>
        <w:pStyle w:val="ListBullet"/>
      </w:pPr>
      <w:r>
        <w:t>NESHAP (Part 63) including ZZZZ (RICE), DDDDD/JJJJJJ (boilers)</w:t>
      </w:r>
    </w:p>
    <w:p>
      <w:pPr>
        <w:pStyle w:val="ListBullet"/>
      </w:pPr>
      <w:r>
        <w:t>PSD/Nonattainment NSR triggers and BACT/LAER</w:t>
      </w:r>
    </w:p>
    <w:p>
      <w:pPr>
        <w:pStyle w:val="ListBullet"/>
      </w:pPr>
      <w:r>
        <w:t>Acid Rain (Part 72), where applicable</w:t>
      </w:r>
    </w:p>
    <w:p>
      <w:pPr>
        <w:pStyle w:val="Heading2"/>
      </w:pPr>
      <w:r>
        <w:t>2.2 Texas State Requirements</w:t>
      </w:r>
    </w:p>
    <w:p>
      <w:pPr>
        <w:pStyle w:val="ListBullet"/>
      </w:pPr>
      <w:r>
        <w:t>30 TAC Chapter 101 (general rules)</w:t>
      </w:r>
    </w:p>
    <w:p>
      <w:pPr>
        <w:pStyle w:val="ListBullet"/>
      </w:pPr>
      <w:r>
        <w:t>Chapter 106 (Permits by Rule)</w:t>
      </w:r>
    </w:p>
    <w:p>
      <w:pPr>
        <w:pStyle w:val="ListBullet"/>
      </w:pPr>
      <w:r>
        <w:t>Chapter 111 (Visible emissions)</w:t>
      </w:r>
    </w:p>
    <w:p>
      <w:pPr>
        <w:pStyle w:val="ListBullet"/>
      </w:pPr>
      <w:r>
        <w:t>Chapter 112 (Sulfur compounds)</w:t>
      </w:r>
    </w:p>
    <w:p>
      <w:pPr>
        <w:pStyle w:val="ListBullet"/>
      </w:pPr>
      <w:r>
        <w:t>Chapter 115 (VOCs)</w:t>
      </w:r>
    </w:p>
    <w:p>
      <w:pPr>
        <w:pStyle w:val="ListBullet"/>
      </w:pPr>
      <w:r>
        <w:t>Chapter 116 (NSR)</w:t>
      </w:r>
    </w:p>
    <w:p>
      <w:pPr>
        <w:pStyle w:val="ListBullet"/>
      </w:pPr>
      <w:r>
        <w:t>Chapter 117 (NOx)</w:t>
      </w:r>
    </w:p>
    <w:p>
      <w:pPr>
        <w:pStyle w:val="Heading2"/>
      </w:pPr>
      <w:r>
        <w:t>2.3 Local/Regional Requirements</w:t>
      </w:r>
    </w:p>
    <w:p>
      <w:r>
        <w:t>Check county/local rules and regional haze requirements.</w:t>
      </w:r>
    </w:p>
    <w:p>
      <w:r>
        <w:t>Tag each requirement as “federally enforceable” or “state-only.”</w:t>
      </w:r>
    </w:p>
    <w:p>
      <w:r>
        <w:t>Screen each controlled unit for CAM (40 CFR part 64).</w:t>
      </w:r>
    </w:p>
    <w:p>
      <w:pPr>
        <w:pStyle w:val="Heading1"/>
      </w:pPr>
      <w:r>
        <w:t>PART 3: APPLICATION PREPARATION</w:t>
      </w:r>
    </w:p>
    <w:p>
      <w:pPr>
        <w:pStyle w:val="Heading2"/>
      </w:pPr>
      <w:r>
        <w:t>3.1 Pre-Application Activities</w:t>
      </w:r>
    </w:p>
    <w:p>
      <w:pPr>
        <w:pStyle w:val="ListBullet"/>
      </w:pPr>
      <w:r>
        <w:t>Optional pre-application meeting with TCEQ APD.</w:t>
      </w:r>
    </w:p>
    <w:p>
      <w:pPr>
        <w:pStyle w:val="ListBullet"/>
      </w:pPr>
      <w:r>
        <w:t>Data collection: site plan, PFDs, specs, fuels, SDS, control device info, prior permits/tests, property info.</w:t>
      </w:r>
    </w:p>
    <w:p>
      <w:pPr>
        <w:pStyle w:val="Heading2"/>
      </w:pPr>
      <w:r>
        <w:t>3.2 Prepare Title V Materials (SOP or GOP Registration)</w:t>
      </w:r>
    </w:p>
    <w:p>
      <w:r>
        <w:t>Complete SOP package (or GOP eligibility/registration) and maintain NSR PI-1/technical attachments for incorporated authorizations.</w:t>
      </w:r>
    </w:p>
    <w:p>
      <w:pPr>
        <w:pStyle w:val="Heading2"/>
      </w:pPr>
      <w:r>
        <w:t>3.3 Technical Attachments</w:t>
      </w:r>
    </w:p>
    <w:p>
      <w:pPr>
        <w:pStyle w:val="ListBullet"/>
      </w:pPr>
      <w:r>
        <w:t>Attachment A – Detailed emission calculations with step-by-step and references.</w:t>
      </w:r>
    </w:p>
    <w:p>
      <w:pPr>
        <w:pStyle w:val="ListBullet"/>
      </w:pPr>
      <w:r>
        <w:t>Attachment B – Process flow diagrams with control/monitoring points.</w:t>
      </w:r>
    </w:p>
    <w:p>
      <w:pPr>
        <w:pStyle w:val="ListBullet"/>
      </w:pPr>
      <w:r>
        <w:t>Attachment C – Site layout/plot plan with EPN coordinates.</w:t>
      </w:r>
    </w:p>
    <w:p>
      <w:pPr>
        <w:pStyle w:val="ListBullet"/>
      </w:pPr>
      <w:r>
        <w:t>Attachment D – Equipment/control specifications.</w:t>
      </w:r>
    </w:p>
    <w:p>
      <w:pPr>
        <w:pStyle w:val="ListBullet"/>
      </w:pPr>
      <w:r>
        <w:t>Attachment E – Fuel analyses.</w:t>
      </w:r>
    </w:p>
    <w:p>
      <w:pPr>
        <w:pStyle w:val="ListBullet"/>
      </w:pPr>
      <w:r>
        <w:t>Attachment F – Compliance demonstrations (by rule citation).</w:t>
      </w:r>
    </w:p>
    <w:p>
      <w:pPr>
        <w:pStyle w:val="ListBullet"/>
      </w:pPr>
      <w:r>
        <w:t>Attachment G – BACT analysis (if PSD).</w:t>
      </w:r>
    </w:p>
    <w:p>
      <w:pPr>
        <w:pStyle w:val="ListBullet"/>
      </w:pPr>
      <w:r>
        <w:t>Attachment H – Ambient impact analysis (if required).</w:t>
      </w:r>
    </w:p>
    <w:p>
      <w:pPr>
        <w:pStyle w:val="Heading2"/>
      </w:pPr>
      <w:r>
        <w:t>3.4 Special Demonstrations</w:t>
      </w:r>
    </w:p>
    <w:p>
      <w:pPr>
        <w:pStyle w:val="ListBullet"/>
      </w:pPr>
      <w:r>
        <w:t>GEP stack height analysis.</w:t>
      </w:r>
    </w:p>
    <w:p>
      <w:pPr>
        <w:pStyle w:val="ListBullet"/>
      </w:pPr>
      <w:r>
        <w:t>Netting analysis for modifications (5-year contemporaneous window).</w:t>
      </w:r>
    </w:p>
    <w:p>
      <w:pPr>
        <w:pStyle w:val="ListBullet"/>
      </w:pPr>
      <w:r>
        <w:t>Synthetic minor limit structure (limit + monitoring + recordkeeping + reporting).</w:t>
      </w:r>
    </w:p>
    <w:p>
      <w:pPr>
        <w:pStyle w:val="Heading2"/>
      </w:pPr>
      <w:r>
        <w:t>3.5 Monitoring/Recordkeeping/Reporting Plan</w:t>
      </w:r>
    </w:p>
    <w:p>
      <w:pPr>
        <w:pStyle w:val="ListBullet"/>
      </w:pPr>
      <w:r>
        <w:t>Monitoring: CEMS/CPMS, periodic/parametric, VE observations, LDAR.</w:t>
      </w:r>
    </w:p>
    <w:p>
      <w:pPr>
        <w:pStyle w:val="ListBullet"/>
      </w:pPr>
      <w:r>
        <w:t>Recordkeeping: minimum 5-year retention (Title V).</w:t>
      </w:r>
    </w:p>
    <w:p>
      <w:pPr>
        <w:pStyle w:val="ListBullet"/>
      </w:pPr>
      <w:r>
        <w:t>Reporting: semiannual monitoring, annual certification, prompt deviation, excess emissions.</w:t>
      </w:r>
    </w:p>
    <w:p>
      <w:pPr>
        <w:pStyle w:val="Heading2"/>
      </w:pPr>
      <w:r>
        <w:t>3.6 Fees</w:t>
      </w:r>
    </w:p>
    <w:p>
      <w:r>
        <w:t>Track current TCEQ application and annual emissions fee rates; calculate and document payment.</w:t>
      </w:r>
    </w:p>
    <w:p>
      <w:pPr>
        <w:pStyle w:val="Heading1"/>
      </w:pPr>
      <w:r>
        <w:t>PART 4: APPLICATION SUBMITTAL</w:t>
      </w:r>
    </w:p>
    <w:p>
      <w:pPr>
        <w:pStyle w:val="Heading2"/>
      </w:pPr>
      <w:r>
        <w:t>4.1 Completeness Review</w:t>
      </w:r>
    </w:p>
    <w:p>
      <w:pPr>
        <w:pStyle w:val="ListBullet"/>
      </w:pPr>
      <w:r>
        <w:t>Checklist for forms, attachments, signatures, fees, copies.</w:t>
      </w:r>
    </w:p>
    <w:p>
      <w:pPr>
        <w:pStyle w:val="ListBullet"/>
      </w:pPr>
      <w:r>
        <w:t>Certification statement by Responsible Official.</w:t>
      </w:r>
    </w:p>
    <w:p>
      <w:pPr>
        <w:pStyle w:val="Heading2"/>
      </w:pPr>
      <w:r>
        <w:t>4.2 Submittal Methods</w:t>
      </w:r>
    </w:p>
    <w:p>
      <w:pPr>
        <w:pStyle w:val="ListBullet"/>
      </w:pPr>
      <w:r>
        <w:t>Electronic submittal via TCEQ ePermits (preferred).</w:t>
      </w:r>
    </w:p>
    <w:p>
      <w:pPr>
        <w:pStyle w:val="ListBullet"/>
      </w:pPr>
      <w:r>
        <w:t>Paper submittal (as required): TCEQ, EPA Region 6 copies.</w:t>
      </w:r>
    </w:p>
    <w:p>
      <w:pPr>
        <w:pStyle w:val="Heading2"/>
      </w:pPr>
      <w:r>
        <w:t>4.3 Administrative Completeness (45 days)</w:t>
      </w:r>
    </w:p>
    <w:p>
      <w:pPr>
        <w:pStyle w:val="ListBullet"/>
      </w:pPr>
      <w:r>
        <w:t>TCEQ completeness determination or NOD.</w:t>
      </w:r>
    </w:p>
    <w:p>
      <w:pPr>
        <w:pStyle w:val="ListBullet"/>
      </w:pPr>
      <w:r>
        <w:t>Declaration of Completeness starts the technical review clock; Title V must be issued within 18 months of a complete application.</w:t>
      </w:r>
    </w:p>
    <w:p>
      <w:pPr>
        <w:pStyle w:val="Heading1"/>
      </w:pPr>
      <w:r>
        <w:t>PART 5: PERMIT REVIEW AND ISSUANCE</w:t>
      </w:r>
    </w:p>
    <w:p>
      <w:pPr>
        <w:pStyle w:val="Heading2"/>
      </w:pPr>
      <w:r>
        <w:t>5.1 Technical Review</w:t>
      </w:r>
    </w:p>
    <w:p>
      <w:pPr>
        <w:pStyle w:val="ListBullet"/>
      </w:pPr>
      <w:r>
        <w:t>Review of calculations, requirements, compliance demonstrations, monitoring adequacy, BACT/ambient analysis where applicable.</w:t>
      </w:r>
    </w:p>
    <w:p>
      <w:pPr>
        <w:pStyle w:val="ListBullet"/>
      </w:pPr>
      <w:r>
        <w:t>RAIs and responses; Draft permit preparation (conditions, monitoring, testing, recordkeeping, reporting, schedules).</w:t>
      </w:r>
    </w:p>
    <w:p>
      <w:pPr>
        <w:pStyle w:val="Heading2"/>
      </w:pPr>
      <w:r>
        <w:t>5.2 Public Notice and Comment (Title V)</w:t>
      </w:r>
    </w:p>
    <w:p>
      <w:pPr>
        <w:pStyle w:val="ListBullet"/>
      </w:pPr>
      <w:r>
        <w:t>30-day public notice in local paper and online; content includes facility info, summary of emissions, how to comment.</w:t>
      </w:r>
    </w:p>
    <w:p>
      <w:pPr>
        <w:pStyle w:val="ListBullet"/>
      </w:pPr>
      <w:r>
        <w:t>Public meeting if requested; formal comment record and response to comments.</w:t>
      </w:r>
    </w:p>
    <w:p>
      <w:pPr>
        <w:pStyle w:val="Heading2"/>
      </w:pPr>
      <w:r>
        <w:t>5.3 EPA Review (Title V)</w:t>
      </w:r>
    </w:p>
    <w:p>
      <w:pPr>
        <w:pStyle w:val="ListBullet"/>
      </w:pPr>
      <w:r>
        <w:t>EPA 45-day review; potential objection and required resolution.</w:t>
      </w:r>
    </w:p>
    <w:p>
      <w:pPr>
        <w:pStyle w:val="ListBullet"/>
      </w:pPr>
      <w:r>
        <w:t>Petition to object within 60 days of close of public comment.</w:t>
      </w:r>
    </w:p>
    <w:p>
      <w:pPr>
        <w:pStyle w:val="Heading2"/>
      </w:pPr>
      <w:r>
        <w:t>5.4 Final Permit Issuance</w:t>
      </w:r>
    </w:p>
    <w:p>
      <w:pPr>
        <w:pStyle w:val="ListBullet"/>
      </w:pPr>
      <w:r>
        <w:t>Standard and site-specific conditions with limits, monitoring, testing, recordkeeping, reporting, and compliance schedules.</w:t>
      </w:r>
    </w:p>
    <w:p>
      <w:pPr>
        <w:pStyle w:val="ListBullet"/>
      </w:pPr>
      <w:r>
        <w:t>Term: up to 5 years; apply for renewal at least 6 months before expiration; application shield applies.</w:t>
      </w:r>
    </w:p>
    <w:p>
      <w:pPr>
        <w:pStyle w:val="Heading2"/>
      </w:pPr>
      <w:r>
        <w:t>5.5 Appeal Rights</w:t>
      </w:r>
    </w:p>
    <w:p>
      <w:pPr>
        <w:pStyle w:val="ListBullet"/>
      </w:pPr>
      <w:r>
        <w:t>Contested case hearing request window (typically 30 days).</w:t>
      </w:r>
    </w:p>
    <w:p>
      <w:pPr>
        <w:pStyle w:val="ListBullet"/>
      </w:pPr>
      <w:r>
        <w:t>SOAH process; commissioners issue final decision.</w:t>
      </w:r>
    </w:p>
    <w:p>
      <w:pPr>
        <w:pStyle w:val="Heading1"/>
      </w:pPr>
      <w:r>
        <w:t>PART 6: ONGOING COMPLIANCE</w:t>
      </w:r>
    </w:p>
    <w:p>
      <w:pPr>
        <w:pStyle w:val="Heading2"/>
      </w:pPr>
      <w:r>
        <w:t>6.1 Startup, Shutdown, Malfunction (SSM)</w:t>
      </w:r>
    </w:p>
    <w:p>
      <w:pPr>
        <w:pStyle w:val="ListBullet"/>
      </w:pPr>
      <w:r>
        <w:t>Maintain SSM plan if required; follow permit and rule-specific timing for notifications and written reports.</w:t>
      </w:r>
    </w:p>
    <w:p>
      <w:pPr>
        <w:pStyle w:val="ListBullet"/>
      </w:pPr>
      <w:r>
        <w:t>Perform root-cause analyses and document corrective/preventive actions.</w:t>
      </w:r>
    </w:p>
    <w:p>
      <w:pPr>
        <w:pStyle w:val="Heading2"/>
      </w:pPr>
      <w:r>
        <w:t>6.2 Emission Monitoring</w:t>
      </w:r>
    </w:p>
    <w:p>
      <w:pPr>
        <w:pStyle w:val="ListBullet"/>
      </w:pPr>
      <w:r>
        <w:t>CEMS/Part 75 where required; QA/QC, certification, RATAs, data validation, electronic reporting.</w:t>
      </w:r>
    </w:p>
    <w:p>
      <w:pPr>
        <w:pStyle w:val="ListBullet"/>
      </w:pPr>
      <w:r>
        <w:t>CPMS (temperature, pressure drop, flow, opacity); calibration, averaging periods, exceedance reporting.</w:t>
      </w:r>
    </w:p>
    <w:p>
      <w:pPr>
        <w:pStyle w:val="ListBullet"/>
      </w:pPr>
      <w:r>
        <w:t>Periodic monitoring (VE, LDAR, inspections).</w:t>
      </w:r>
    </w:p>
    <w:p>
      <w:pPr>
        <w:pStyle w:val="ListBullet"/>
      </w:pPr>
      <w:r>
        <w:t>Parametric/fuel/material analyses; hours/throughput tracking.</w:t>
      </w:r>
    </w:p>
    <w:p>
      <w:pPr>
        <w:pStyle w:val="Heading2"/>
      </w:pPr>
      <w:r>
        <w:t>6.3 Performance Testing</w:t>
      </w:r>
    </w:p>
    <w:p>
      <w:pPr>
        <w:pStyle w:val="ListBullet"/>
      </w:pPr>
      <w:r>
        <w:t>Test plan submittal (methods, locations, QA/QC, notification).</w:t>
      </w:r>
    </w:p>
    <w:p>
      <w:pPr>
        <w:pStyle w:val="ListBullet"/>
      </w:pPr>
      <w:r>
        <w:t>Pre-test calibration and normal ops; test notification; test methods (M1, M2, M3, M4, M5, 7E, 10, 25/25A, etc.).</w:t>
      </w:r>
    </w:p>
    <w:p>
      <w:pPr>
        <w:pStyle w:val="ListBullet"/>
      </w:pPr>
      <w:r>
        <w:t>Final test report within typical 60 days (verify permit).</w:t>
      </w:r>
    </w:p>
    <w:p>
      <w:pPr>
        <w:pStyle w:val="Heading2"/>
      </w:pPr>
      <w:r>
        <w:t>6.4 Recordkeeping</w:t>
      </w:r>
    </w:p>
    <w:p>
      <w:pPr>
        <w:pStyle w:val="ListBullet"/>
      </w:pPr>
      <w:r>
        <w:t>Operational, monitoring, compliance, and administrative records; retain for at least 5 years (Title V).</w:t>
      </w:r>
    </w:p>
    <w:p>
      <w:pPr>
        <w:pStyle w:val="ListBullet"/>
      </w:pPr>
      <w:r>
        <w:t>Make available on request to TCEQ/EPA within permit timelines.</w:t>
      </w:r>
    </w:p>
    <w:p>
      <w:pPr>
        <w:pStyle w:val="Heading2"/>
      </w:pPr>
      <w:r>
        <w:t>6.5 Reporting</w:t>
      </w:r>
    </w:p>
    <w:p>
      <w:pPr>
        <w:pStyle w:val="ListBullet"/>
      </w:pPr>
      <w:r>
        <w:t>Annual Compliance Certification (ACC) signed by RO; identify methods, status, deviations, and certifications.</w:t>
      </w:r>
    </w:p>
    <w:p>
      <w:pPr>
        <w:pStyle w:val="ListBullet"/>
      </w:pPr>
      <w:r>
        <w:t>Semiannual monitoring reports (commonly due Jan 30 and Jul 30).</w:t>
      </w:r>
    </w:p>
    <w:p>
      <w:pPr>
        <w:pStyle w:val="ListBullet"/>
      </w:pPr>
      <w:r>
        <w:t>Deviation/excess emissions reports: prompt notification per permit; written follow-up with details and corrective actions.</w:t>
      </w:r>
    </w:p>
    <w:p>
      <w:pPr>
        <w:pStyle w:val="ListBullet"/>
      </w:pPr>
      <w:r>
        <w:t>NSPS/NESHAP notifications/tests/reports per subpart.</w:t>
      </w:r>
    </w:p>
    <w:p>
      <w:pPr>
        <w:pStyle w:val="ListBullet"/>
      </w:pPr>
      <w:r>
        <w:t>Annual Emissions Inventory via STEERS, typically due March 31 when required.</w:t>
      </w:r>
    </w:p>
    <w:p>
      <w:pPr>
        <w:pStyle w:val="Heading2"/>
      </w:pPr>
      <w:r>
        <w:t>6.6 Permit Modifications and Flexibility</w:t>
      </w:r>
    </w:p>
    <w:p>
      <w:pPr>
        <w:pStyle w:val="ListBullet"/>
      </w:pPr>
      <w:r>
        <w:t>Administrative amendment: non-substantive updates.</w:t>
      </w:r>
    </w:p>
    <w:p>
      <w:pPr>
        <w:pStyle w:val="ListBullet"/>
      </w:pPr>
      <w:r>
        <w:t>Minor revision: does not add or violate applicable requirements or significantly change monitoring/recordkeeping/reporting.</w:t>
      </w:r>
    </w:p>
    <w:p>
      <w:pPr>
        <w:pStyle w:val="ListBullet"/>
      </w:pPr>
      <w:r>
        <w:t>Significant revision: everything else; requires public notice and EPA review.</w:t>
      </w:r>
    </w:p>
    <w:p>
      <w:pPr>
        <w:pStyle w:val="ListBullet"/>
      </w:pPr>
      <w:r>
        <w:t>Operational flexibility and off-permit changes where allowed; notify agencies and consolidate at renewal.</w:t>
      </w:r>
    </w:p>
    <w:p>
      <w:pPr>
        <w:pStyle w:val="Heading2"/>
      </w:pPr>
      <w:r>
        <w:t>6.7 Renewal &amp; Reopenings</w:t>
      </w:r>
    </w:p>
    <w:p>
      <w:pPr>
        <w:pStyle w:val="ListBullet"/>
      </w:pPr>
      <w:r>
        <w:t>Renewal: submit timely and complete application (≥6 months before expiration) to maintain application shield; consolidate changes.</w:t>
      </w:r>
    </w:p>
    <w:p>
      <w:pPr>
        <w:pStyle w:val="ListBullet"/>
      </w:pPr>
      <w:r>
        <w:t>Reopenings: to add new applicable requirements, correct mistakes, or assure compliance (EPA/TCEQ initiated).</w:t>
      </w:r>
    </w:p>
    <w:p>
      <w:pPr>
        <w:pStyle w:val="Heading2"/>
      </w:pPr>
      <w:r>
        <w:t>6.8 Compliance Assurance Monitoring (CAM)</w:t>
      </w:r>
    </w:p>
    <w:p>
      <w:pPr>
        <w:pStyle w:val="ListBullet"/>
      </w:pPr>
      <w:r>
        <w:t>Screen each controlled unit; prepare indicator ranges, QA/QC, frequency, excursion response, and reporting when CAM applies.</w:t>
      </w:r>
    </w:p>
    <w:p>
      <w:pPr>
        <w:pStyle w:val="Heading1"/>
      </w:pPr>
      <w:r>
        <w:t>PART 7: DATA &amp; SYSTEMS FOR AI/RAG AUTOMATION</w:t>
      </w:r>
    </w:p>
    <w:p>
      <w:pPr>
        <w:pStyle w:val="ListBullet"/>
      </w:pPr>
      <w:r>
        <w:t>Authoritative corpuses: 30 TAC Ch. 122/116/115/117, 40 CFR part 70/60/63/64/72, TCEQ TV guidance, Chapter 39 notice procedures.</w:t>
      </w:r>
    </w:p>
    <w:p>
      <w:pPr>
        <w:pStyle w:val="ListBullet"/>
      </w:pPr>
      <w:r>
        <w:t>Agency portals: ePermits (Title V), STEERS (EI and e-reporting), EPA CDX/CEDRI (federal reports).</w:t>
      </w:r>
    </w:p>
    <w:p>
      <w:pPr>
        <w:pStyle w:val="ListBullet"/>
      </w:pPr>
      <w:r>
        <w:t>Templates: ACC, Semiannual Monitoring, Deviation, Test Plan/Report.</w:t>
      </w:r>
    </w:p>
    <w:p>
      <w:pPr>
        <w:pStyle w:val="ListBullet"/>
      </w:pPr>
      <w:r>
        <w:t>Facility data: CEMS/CPMS, LDAR DB, fuel/throughput, O&amp;M logs, NSR permit register, change-management/off-permit logs.</w:t>
      </w:r>
    </w:p>
    <w:p>
      <w:pPr>
        <w:pStyle w:val="ListBullet"/>
      </w:pPr>
      <w:r>
        <w:t>Metadata flags in RAG: “federal vs state-only,” due dates, monitoring frequencies, deviation triggers, revision pathways.</w:t>
      </w:r>
    </w:p>
    <w:p>
      <w:pPr>
        <w:pStyle w:val="Heading1"/>
      </w:pPr>
      <w:r>
        <w:t>Appendix A: Sample Emissions Summary Table Format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EPN</w:t>
            </w:r>
          </w:p>
        </w:tc>
        <w:tc>
          <w:tcPr>
            <w:tcW w:type="dxa" w:w="1234"/>
          </w:tcPr>
          <w:p>
            <w:r>
              <w:t>Equipment</w:t>
            </w:r>
          </w:p>
        </w:tc>
        <w:tc>
          <w:tcPr>
            <w:tcW w:type="dxa" w:w="1234"/>
          </w:tcPr>
          <w:p>
            <w:r>
              <w:t>Pollutant</w:t>
            </w:r>
          </w:p>
        </w:tc>
        <w:tc>
          <w:tcPr>
            <w:tcW w:type="dxa" w:w="1234"/>
          </w:tcPr>
          <w:p>
            <w:r>
              <w:t>PTE (tpy)</w:t>
            </w:r>
          </w:p>
        </w:tc>
        <w:tc>
          <w:tcPr>
            <w:tcW w:type="dxa" w:w="1234"/>
          </w:tcPr>
          <w:p>
            <w:r>
              <w:t>Allowable (tpy)</w:t>
            </w:r>
          </w:p>
        </w:tc>
        <w:tc>
          <w:tcPr>
            <w:tcW w:type="dxa" w:w="1234"/>
          </w:tcPr>
          <w:p>
            <w:r>
              <w:t>Control</w:t>
            </w:r>
          </w:p>
        </w:tc>
        <w:tc>
          <w:tcPr>
            <w:tcW w:type="dxa" w:w="1234"/>
          </w:tcPr>
          <w:p>
            <w:r>
              <w:t>Efficiency</w:t>
            </w:r>
          </w:p>
        </w:tc>
      </w:tr>
      <w:tr>
        <w:tc>
          <w:tcPr>
            <w:tcW w:type="dxa" w:w="1234"/>
          </w:tcPr>
          <w:p>
            <w:r>
              <w:t>EPN-BOILER1</w:t>
            </w:r>
          </w:p>
        </w:tc>
        <w:tc>
          <w:tcPr>
            <w:tcW w:type="dxa" w:w="1234"/>
          </w:tcPr>
          <w:p>
            <w:r>
              <w:t>NG Boiler (100 MMBtu/hr)</w:t>
            </w:r>
          </w:p>
        </w:tc>
        <w:tc>
          <w:tcPr>
            <w:tcW w:type="dxa" w:w="1234"/>
          </w:tcPr>
          <w:p>
            <w:r>
              <w:t>NOx</w:t>
            </w:r>
          </w:p>
        </w:tc>
        <w:tc>
          <w:tcPr>
            <w:tcW w:type="dxa" w:w="1234"/>
          </w:tcPr>
          <w:p>
            <w:r>
              <w:t>43.8</w:t>
            </w:r>
          </w:p>
        </w:tc>
        <w:tc>
          <w:tcPr>
            <w:tcW w:type="dxa" w:w="1234"/>
          </w:tcPr>
          <w:p>
            <w:r>
              <w:t>43.8</w:t>
            </w:r>
          </w:p>
        </w:tc>
        <w:tc>
          <w:tcPr>
            <w:tcW w:type="dxa" w:w="1234"/>
          </w:tcPr>
          <w:p>
            <w:r>
              <w:t>Low-NOx burner</w:t>
            </w:r>
          </w:p>
        </w:tc>
        <w:tc>
          <w:tcPr>
            <w:tcW w:type="dxa" w:w="1234"/>
          </w:tcPr>
          <w:p>
            <w:r>
              <w:t>—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000000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b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