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right"/>
        <w:bidi/>
      </w:pPr>
      <w:r>
        <w:rPr>
          <w:rFonts w:ascii="Calibri" w:hAnsi="Calibri"/>
          <w:b/>
          <w:color w:val="0E76A8"/>
          <w:sz w:val="23"/>
        </w:rPr>
        <w:t>منصة تحصيل الإلكترونية | شركة الترا سوفت للحلول المالية (Ultimate Pay Solutions)</w:t>
      </w:r>
    </w:p>
    <w:p>
      <w:pPr>
        <w:spacing w:before="80" w:after="240"/>
        <w:jc w:val="right"/>
        <w:bidi/>
      </w:pPr>
      <w:r>
        <w:rPr>
          <w:rFonts w:ascii="Calibri" w:hAnsi="Calibri"/>
          <w:b/>
          <w:color w:val="0A2540"/>
          <w:sz w:val="36"/>
        </w:rPr>
        <w:t>وثيقة المواصفات الفنية والمعمارية الكاملة المحدثة</w:t>
        <w:br/>
        <w:t>مشروع ربط منصة تحصيل بمنظومة مكافحة غسل الأموال ومراقبة الاحتيال EFRM</w:t>
        <w:br/>
        <w:t>(Ultimate Pay FI &amp; Tahseel AML Compliance - FinFactory / RiskBrains Integration)</w:t>
      </w:r>
    </w:p>
    <w:tbl>
      <w:tblPr>
        <w:tblW w:type="auto" w:w="0"/>
        <w:jc w:val="center"/>
        <w:tblLayout w:type="fixed"/>
        <w:tblLook w:firstColumn="1" w:firstRow="1" w:lastColumn="0" w:lastRow="0" w:noHBand="0" w:noVBand="1" w:val="04A0"/>
        <w:bidiVisual/>
      </w:tblPr>
      <w:tblGrid>
        <w:gridCol w:w="4968"/>
        <w:gridCol w:w="4968"/>
      </w:tblGrid>
      <w:tr>
        <w:tc>
          <w:tcPr>
            <w:tcW w:type="dxa" w:w="331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المعيار الفني الرقابي</w:t>
            </w:r>
          </w:p>
        </w:tc>
        <w:tc>
          <w:tcPr>
            <w:tcW w:type="dxa" w:w="6048"/>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القيمة والتفاصيل المعتمدة رسمياً</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اسم الموديول البرمجي في النظام</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موديول الامتثال ومكافحة غسل الأموال: tahseel_aml</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حالة الكود البرمجي</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مكتمل بنسبة 100%، جاهز للإنتاج (Production Ready)، ومجرب بالكامل</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اسم المنظومة الرقابية الخارجية</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RiskBrains - Unified Financial Crime Intelligence Platform (FinFactory)</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سيرفر الربط المباشر المكتشف</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http://10.225.119.170:8000/screening/v1 (توثيق Swagger: /screening/v1/docs)</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رمز المؤسسة المعتمد (Institution ID)</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ULTIMATE_PAY (معتمد في جداول المعاملات والمراسلات الرسمية)</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الأنظمة المصدرية في تحصيل</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 نظام تسجيل المفوترين: TAHSEEL | 2. نظام بوابة الدفع والبطاقات: PG_SWITCH</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آلية المصادقة الأمنية (Authentication)</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مفتاح API رسمي يتم تمريره في الترويسة: x-api-key</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أنماط الفحص والتقييم المدعومة</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النمط اللحظي المتزامن (SYNC) لنقاط البيع + النمط غير المتزامن (ASYNC)</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القنوات والعملات المدعومة</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القنوات: POS, ECOM, ATM | العملات: 886 (ريال يمني), 840 (دولار), 682 (ريال سعودي)</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رابط استقبال الإشعارات (Webhook URL)</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https://tahseeltest.ultimate-pay.net/api/aml/webhook/</w:t>
            </w:r>
          </w:p>
        </w:tc>
      </w:tr>
      <w:tr>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المرجعيات التشريعية الرسمية</w:t>
            </w:r>
          </w:p>
        </w:tc>
        <w:tc>
          <w:tcPr>
            <w:tcW w:type="dxa" w:w="604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تعليمات البنك المركزي اليمني (CBY) + معايير FATF + متطلبات قانون FATCA</w:t>
            </w:r>
          </w:p>
        </w:tc>
      </w:tr>
      <w:tr>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تاريخ التحديث المعتمد</w:t>
            </w:r>
          </w:p>
        </w:tc>
        <w:tc>
          <w:tcPr>
            <w:tcW w:type="dxa" w:w="604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أكتوبر 2026 - الإصدار 2.5 الشامل</w:t>
            </w:r>
          </w:p>
        </w:tc>
      </w:tr>
    </w:tbl>
    <w:p>
      <w:pPr>
        <w:spacing w:after="120"/>
      </w:pPr>
    </w:p>
    <w:tbl>
      <w:tblPr>
        <w:tblW w:type="auto" w:w="0"/>
        <w:jc w:val="center"/>
        <w:tblLayout w:type="fixed"/>
        <w:tblLook w:firstColumn="1" w:firstRow="1" w:lastColumn="0" w:lastRow="0" w:noHBand="0" w:noVBand="1" w:val="04A0"/>
        <w:bidiVisual/>
      </w:tblPr>
      <w:tblGrid>
        <w:gridCol w:w="9936"/>
      </w:tblGrid>
      <w:tr>
        <w:tc>
          <w:tcPr>
            <w:tcW w:type="dxa" w:w="9360"/>
            <w:shd w:fill="F0FDF4"/>
            <w:tcMar>
              <w:top w:w="130" w:type="dxa"/>
              <w:bottom w:w="130" w:type="dxa"/>
              <w:left w:w="180" w:type="dxa"/>
              <w:right w:w="180" w:type="dxa"/>
            </w:tcMar>
            <w:tcBorders>
              <w:top w:val="none"/>
              <w:bottom w:val="none"/>
              <w:left w:val="none"/>
              <w:right w:val="single" w:sz="24" w:space="0" w:color="22C55E"/>
            </w:tcBorders>
          </w:tcPr>
          <w:p>
            <w:pPr>
              <w:spacing w:after="60"/>
              <w:jc w:val="right"/>
              <w:bidi/>
            </w:pPr>
            <w:r>
              <w:rPr>
                <w:rFonts w:ascii="Calibri" w:hAnsi="Calibri"/>
                <w:b/>
                <w:color w:val="166534"/>
                <w:sz w:val="22"/>
              </w:rPr>
              <w:t>✅ اعتماد معماري قاطع: عدم المساس بهيكلية قاعدة بيانات تحصيل الحالية</w:t>
              <w:br/>
            </w:r>
            <w:r>
              <w:rPr>
                <w:rFonts w:ascii="Calibri" w:hAnsi="Calibri"/>
                <w:color w:val="2C3E50"/>
                <w:sz w:val="20"/>
              </w:rPr>
              <w:t>تم تصميم وهندسة موديول tahseel_aml وفق نمط التصميم العالمي (Adapter Pattern / Anti-Corruption Layer)؛ وبناءً عليه لا يتطلب التكامل إطلاقاً أي تعديل أو إعادة تسمية لحقول أو جداول نظام تحصيل الأصلية في قاعدة البيانات. يتولى الموديول الترجمة الذكية اللحظية بين نماذج تحصيل ومتطلبات منصة RiskBrains من FinFactory.</w:t>
            </w:r>
          </w:p>
        </w:tc>
      </w:tr>
    </w:tbl>
    <w:p>
      <w:pPr>
        <w:spacing w:after="80"/>
      </w:pPr>
    </w:p>
    <w:p>
      <w:pPr>
        <w:spacing w:before="360" w:after="160"/>
        <w:jc w:val="right"/>
        <w:bidi/>
      </w:pPr>
      <w:r>
        <w:rPr>
          <w:rFonts w:ascii="Calibri" w:hAnsi="Calibri"/>
          <w:b/>
          <w:color w:val="0A2540"/>
          <w:sz w:val="34"/>
        </w:rPr>
        <w:t>1. الملخص التنفيذي والأهداف الاستراتيجية للمشروع</w:t>
      </w:r>
    </w:p>
    <w:p>
      <w:pPr>
        <w:spacing w:line="288" w:lineRule="auto" w:after="100"/>
        <w:jc w:val="right"/>
        <w:bidi/>
      </w:pPr>
      <w:r>
        <w:rPr>
          <w:rFonts w:ascii="Calibri" w:hAnsi="Calibri"/>
          <w:b w:val="0"/>
          <w:color w:val="2C3E50"/>
          <w:sz w:val="21"/>
        </w:rPr>
        <w:t>يأتي مشروع دمج منظومة مكافحة غسل الأموال (AML) ومراقبة المعاملات المالية اللحظية (EFRM) كخطوة استراتيجية محورية تضمن ريادة منصة تحصيل (Ultimate Pay Solutions) كأول مزود حلول دفع وفواتير في الجمهورية اليمنية يوفر امتثالاً مؤتمتاً ورقمنة كاملة لمعايير النزاهة المالية والحوكمة المؤسسية.</w:t>
      </w:r>
    </w:p>
    <w:p>
      <w:pPr>
        <w:spacing w:before="280" w:after="120"/>
        <w:jc w:val="right"/>
        <w:bidi/>
      </w:pPr>
      <w:r>
        <w:rPr>
          <w:rFonts w:ascii="Calibri" w:hAnsi="Calibri"/>
          <w:b/>
          <w:color w:val="0E76A8"/>
          <w:sz w:val="27"/>
        </w:rPr>
        <w:t>الأهداف التشغيلية والرقابية المعتمدة:</w:t>
      </w:r>
    </w:p>
    <w:p>
      <w:pPr>
        <w:spacing w:line="276" w:lineRule="auto" w:after="80"/>
        <w:ind w:right="280"/>
        <w:jc w:val="right"/>
        <w:bidi/>
      </w:pPr>
      <w:r>
        <w:rPr>
          <w:rFonts w:ascii="Calibri" w:hAnsi="Calibri"/>
          <w:b/>
          <w:color w:val="0E76A8"/>
        </w:rPr>
        <w:t xml:space="preserve">• </w:t>
      </w:r>
      <w:r>
        <w:rPr>
          <w:rFonts w:ascii="Calibri" w:hAnsi="Calibri"/>
          <w:color w:val="2C3E50"/>
          <w:sz w:val="20"/>
        </w:rPr>
        <w:t>حوكمة تسجيل المفوترين (KYB Onboarding): التحقق الرقمي الإلزامي من السجلات التجارية، والبيانات الضريبية، والتراخيص المهنية للشركات والمؤسسات والكيانات الفردية قبل تفعيل الخدمة.</w:t>
      </w:r>
    </w:p>
    <w:p>
      <w:pPr>
        <w:spacing w:line="276" w:lineRule="auto" w:after="80"/>
        <w:ind w:right="280"/>
        <w:jc w:val="right"/>
        <w:bidi/>
      </w:pPr>
      <w:r>
        <w:rPr>
          <w:rFonts w:ascii="Calibri" w:hAnsi="Calibri"/>
          <w:b/>
          <w:color w:val="0E76A8"/>
        </w:rPr>
        <w:t xml:space="preserve">• </w:t>
      </w:r>
      <w:r>
        <w:rPr>
          <w:rFonts w:ascii="Calibri" w:hAnsi="Calibri"/>
          <w:color w:val="2C3E50"/>
          <w:sz w:val="20"/>
        </w:rPr>
        <w:t>فحص القوائم السوداء والعقوبات (Watchlist &amp; Sanctions Screening): الفحص الآلي المباشر للكيان التجاري (Primary Entity) وجميع الشركاء والمفوضين والملاك (Secondary Entities) ضد لوائح العقوبات الدولية الصادرة عن مجلس الأمن، وOFAC، وقوائم الحظر الصادرة عن البنك المركزي اليمني.</w:t>
      </w:r>
    </w:p>
    <w:p>
      <w:pPr>
        <w:spacing w:line="276" w:lineRule="auto" w:after="80"/>
        <w:ind w:right="280"/>
        <w:jc w:val="right"/>
        <w:bidi/>
      </w:pPr>
      <w:r>
        <w:rPr>
          <w:rFonts w:ascii="Calibri" w:hAnsi="Calibri"/>
          <w:b/>
          <w:color w:val="0E76A8"/>
        </w:rPr>
        <w:t xml:space="preserve">• </w:t>
      </w:r>
      <w:r>
        <w:rPr>
          <w:rFonts w:ascii="Calibri" w:hAnsi="Calibri"/>
          <w:color w:val="2C3E50"/>
          <w:sz w:val="20"/>
        </w:rPr>
        <w:t>فحص الوسائط الإعلامية السلبية (Adverse Media Check - AMC): التحقق المتقدم من عدم تورط الكيانات أو ملاكها في قضايا فساد، أو احتيال، أو جرائم مالية عبر آلاف المصادر الإخبارية الموثوقة.</w:t>
      </w:r>
    </w:p>
    <w:p>
      <w:pPr>
        <w:spacing w:line="276" w:lineRule="auto" w:after="80"/>
        <w:ind w:right="280"/>
        <w:jc w:val="right"/>
        <w:bidi/>
      </w:pPr>
      <w:r>
        <w:rPr>
          <w:rFonts w:ascii="Calibri" w:hAnsi="Calibri"/>
          <w:b/>
          <w:color w:val="0E76A8"/>
        </w:rPr>
        <w:t xml:space="preserve">• </w:t>
      </w:r>
      <w:r>
        <w:rPr>
          <w:rFonts w:ascii="Calibri" w:hAnsi="Calibri"/>
          <w:color w:val="2C3E50"/>
          <w:sz w:val="20"/>
        </w:rPr>
        <w:t>الاحتساب التلقائي للمستفيد الحقيقي النهائي (Ultimate Beneficial Owner - UBO): تطبيق خوارزمية إلزامية تعتبر كل مالك أو شريك تبلغ حصته 25% فما فوق مستفيداً حقيقياً يجب فحصه رقابياً.</w:t>
      </w:r>
    </w:p>
    <w:p>
      <w:pPr>
        <w:spacing w:line="276" w:lineRule="auto" w:after="80"/>
        <w:ind w:right="280"/>
        <w:jc w:val="right"/>
        <w:bidi/>
      </w:pPr>
      <w:r>
        <w:rPr>
          <w:rFonts w:ascii="Calibri" w:hAnsi="Calibri"/>
          <w:b/>
          <w:color w:val="0E76A8"/>
        </w:rPr>
        <w:t xml:space="preserve">• </w:t>
      </w:r>
      <w:r>
        <w:rPr>
          <w:rFonts w:ascii="Calibri" w:hAnsi="Calibri"/>
          <w:color w:val="2C3E50"/>
          <w:sz w:val="20"/>
        </w:rPr>
        <w:t>تتبع الأشخاص المعرضين سياسياً (PEP) ومتطلبات الامتثال الضريبي الأمريكي (FATCA): الإفصاح الإجباري عن ذوي المناصب العليا الحساسة وتحديد الامتثال الضريبي للدول الخارجية.</w:t>
      </w:r>
    </w:p>
    <w:p>
      <w:pPr>
        <w:spacing w:line="276" w:lineRule="auto" w:after="80"/>
        <w:ind w:right="280"/>
        <w:jc w:val="right"/>
        <w:bidi/>
      </w:pPr>
      <w:r>
        <w:rPr>
          <w:rFonts w:ascii="Calibri" w:hAnsi="Calibri"/>
          <w:b/>
          <w:color w:val="0E76A8"/>
        </w:rPr>
        <w:t xml:space="preserve">• </w:t>
      </w:r>
      <w:r>
        <w:rPr>
          <w:rFonts w:ascii="Calibri" w:hAnsi="Calibri"/>
          <w:color w:val="2C3E50"/>
          <w:sz w:val="20"/>
        </w:rPr>
        <w:t>مراقبة المعاملات المالية اللحظية وردع الاحتيال (EFRM Fraud &amp; Txn Monitoring): حماية نقاط البيع (POS) وبوابة الدفع (ECOM) وأجهزة الصراف (ATM) من خلال محرك تقييم متزامن (SYNC) يرفض العمليات المشبوهة فورياً خلال أقل من 100 ميلي ثانية.</w:t>
      </w:r>
    </w:p>
    <w:p>
      <w:pPr>
        <w:spacing w:line="276" w:lineRule="auto" w:after="80"/>
        <w:ind w:right="280"/>
        <w:jc w:val="right"/>
        <w:bidi/>
      </w:pPr>
      <w:r>
        <w:rPr>
          <w:rFonts w:ascii="Calibri" w:hAnsi="Calibri"/>
          <w:b/>
          <w:color w:val="0E76A8"/>
        </w:rPr>
        <w:t xml:space="preserve">• </w:t>
      </w:r>
      <w:r>
        <w:rPr>
          <w:rFonts w:ascii="Calibri" w:hAnsi="Calibri"/>
          <w:color w:val="2C3E50"/>
          <w:sz w:val="20"/>
        </w:rPr>
        <w:t>منظومة استقبال إشعارات الـ Webhooks وإغلاق القضايا: معالجة فورية وتلقائية للقرارات غير المتزامنة وتحديثات القضايا الرقابية (Cases) وإرجاع رسائل التأكيد المعتمدة.</w:t>
      </w:r>
    </w:p>
    <w:p>
      <w:pPr>
        <w:spacing w:line="276" w:lineRule="auto" w:after="80"/>
        <w:ind w:right="280"/>
        <w:jc w:val="right"/>
        <w:bidi/>
      </w:pPr>
      <w:r>
        <w:rPr>
          <w:rFonts w:ascii="Calibri" w:hAnsi="Calibri"/>
          <w:b/>
          <w:color w:val="0E76A8"/>
        </w:rPr>
        <w:t xml:space="preserve">• </w:t>
      </w:r>
      <w:r>
        <w:rPr>
          <w:rFonts w:ascii="Calibri" w:hAnsi="Calibri"/>
          <w:color w:val="2C3E50"/>
          <w:sz w:val="20"/>
        </w:rPr>
        <w:t>حفظ سجلات الامتثال غير القابلة للتلاعب (Immutable Audit Trail): تجميد سجلات التدقيق والقرارات برمجياً لمنع التعديل أو الحذف، مع الاحتفاظ بها لمدة 10 سنوات امتثالاً للقوانين المصرفية النافذة.</w:t>
      </w:r>
    </w:p>
    <w:p>
      <w:pPr>
        <w:spacing w:before="360" w:after="160"/>
        <w:jc w:val="right"/>
        <w:bidi/>
      </w:pPr>
      <w:r>
        <w:rPr>
          <w:rFonts w:ascii="Calibri" w:hAnsi="Calibri"/>
          <w:b/>
          <w:color w:val="0A2540"/>
          <w:sz w:val="34"/>
        </w:rPr>
        <w:t>2. الهيكلية المعمارية وفلسفة نمط المحول (Adapter Architecture &amp; SOLID)</w:t>
      </w:r>
    </w:p>
    <w:p>
      <w:pPr>
        <w:spacing w:line="288" w:lineRule="auto" w:after="100"/>
        <w:jc w:val="right"/>
        <w:bidi/>
      </w:pPr>
      <w:r>
        <w:rPr>
          <w:rFonts w:ascii="Calibri" w:hAnsi="Calibri"/>
          <w:b w:val="0"/>
          <w:color w:val="2C3E50"/>
          <w:sz w:val="21"/>
        </w:rPr>
        <w:t>أحد أهم القرارات الهندسية المعتمدة في هذا المشروع هو تطبيق نمط المحول (Adapter Pattern) وطبقة مكافحة الفساد البرمجي (Anti-Corruption Layer). حيث يضمن هذا التصميم ما يلي:</w:t>
      </w:r>
    </w:p>
    <w:p>
      <w:pPr>
        <w:spacing w:before="280" w:after="120"/>
        <w:jc w:val="right"/>
        <w:bidi/>
      </w:pPr>
      <w:r>
        <w:rPr>
          <w:rFonts w:ascii="Calibri" w:hAnsi="Calibri"/>
          <w:b/>
          <w:color w:val="0E76A8"/>
          <w:sz w:val="27"/>
        </w:rPr>
        <w:t>مزايا عدم المساس بقاعدة بيانات تحصيل الأساسية:</w:t>
      </w:r>
    </w:p>
    <w:p>
      <w:pPr>
        <w:spacing w:line="276" w:lineRule="auto" w:after="80"/>
        <w:ind w:right="280"/>
        <w:jc w:val="right"/>
        <w:bidi/>
      </w:pPr>
      <w:r>
        <w:rPr>
          <w:rFonts w:ascii="Calibri" w:hAnsi="Calibri"/>
          <w:b/>
          <w:color w:val="0E76A8"/>
        </w:rPr>
        <w:t xml:space="preserve">• </w:t>
      </w:r>
      <w:r>
        <w:rPr>
          <w:rFonts w:ascii="Calibri" w:hAnsi="Calibri"/>
          <w:color w:val="2C3E50"/>
          <w:sz w:val="20"/>
        </w:rPr>
        <w:t>حفظ استقرار النظام الرئيسي: تظل جداول المفوترين والبطاقات والحركات في تحصيل تعمل وفق بنيتها المجربة دون أدنى مخاطرة بحدوث تعطل أو كسر في التطبيقات الحالية.</w:t>
      </w:r>
    </w:p>
    <w:p>
      <w:pPr>
        <w:spacing w:line="276" w:lineRule="auto" w:after="80"/>
        <w:ind w:right="280"/>
        <w:jc w:val="right"/>
        <w:bidi/>
      </w:pPr>
      <w:r>
        <w:rPr>
          <w:rFonts w:ascii="Calibri" w:hAnsi="Calibri"/>
          <w:b/>
          <w:color w:val="0E76A8"/>
        </w:rPr>
        <w:t xml:space="preserve">• </w:t>
      </w:r>
      <w:r>
        <w:rPr>
          <w:rFonts w:ascii="Calibri" w:hAnsi="Calibri"/>
          <w:color w:val="2C3E50"/>
          <w:sz w:val="20"/>
        </w:rPr>
        <w:t>الترجمة الذكية (Data Normalization): تقوم خدمات tahseel_aml بترجمة حقول تحصيل إلى الهيكلية المطلوبة لدى نظام FinFactory (مثل تحويل Biller إلى ORGANIZATION، والشركاء إلى INDIVIDUAL، وتعيين الأدوار مثل DIRECTOR أو AUTHORIZED_SIGNATORY).</w:t>
      </w:r>
    </w:p>
    <w:p>
      <w:pPr>
        <w:spacing w:line="276" w:lineRule="auto" w:after="80"/>
        <w:ind w:right="280"/>
        <w:jc w:val="right"/>
        <w:bidi/>
      </w:pPr>
      <w:r>
        <w:rPr>
          <w:rFonts w:ascii="Calibri" w:hAnsi="Calibri"/>
          <w:b/>
          <w:color w:val="0E76A8"/>
        </w:rPr>
        <w:t xml:space="preserve">• </w:t>
      </w:r>
      <w:r>
        <w:rPr>
          <w:rFonts w:ascii="Calibri" w:hAnsi="Calibri"/>
          <w:color w:val="2C3E50"/>
          <w:sz w:val="20"/>
        </w:rPr>
        <w:t>عزل التبعيات الخارجية: في حال طرأ أي تغيير مستقبلي على صيغة API المزود الخارجي، يتم التعديل فقط في طبقة المحول داخل tahseel_aml دون الحاجة لتعديل بقية أجزاء منصة تحصيل.</w:t>
      </w:r>
    </w:p>
    <w:p>
      <w:pPr>
        <w:spacing w:before="280" w:after="120"/>
        <w:jc w:val="right"/>
        <w:bidi/>
      </w:pPr>
      <w:r>
        <w:rPr>
          <w:rFonts w:ascii="Calibri" w:hAnsi="Calibri"/>
          <w:b/>
          <w:color w:val="0E76A8"/>
          <w:sz w:val="27"/>
        </w:rPr>
        <w:t>تطبيق مبادئ SOLID الخمسة في كود tahseel_aml:</w:t>
      </w:r>
    </w:p>
    <w:tbl>
      <w:tblPr>
        <w:tblW w:type="auto" w:w="0"/>
        <w:jc w:val="center"/>
        <w:tblLayout w:type="fixed"/>
        <w:tblLook w:firstColumn="1" w:firstRow="1" w:lastColumn="0" w:lastRow="0" w:noHBand="0" w:noVBand="1" w:val="04A0"/>
        <w:bidiVisual/>
      </w:tblPr>
      <w:tblGrid>
        <w:gridCol w:w="3312"/>
        <w:gridCol w:w="3312"/>
        <w:gridCol w:w="3312"/>
      </w:tblGrid>
      <w:tr>
        <w:tc>
          <w:tcPr>
            <w:tcW w:type="dxa" w:w="259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المبدأ البرمجي (SOLID)</w:t>
            </w:r>
          </w:p>
        </w:tc>
        <w:tc>
          <w:tcPr>
            <w:tcW w:type="dxa" w:w="3888"/>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تطبيقه العملي في tahseel_aml</w:t>
            </w:r>
          </w:p>
        </w:tc>
        <w:tc>
          <w:tcPr>
            <w:tcW w:type="dxa" w:w="288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الفائدة المعمارية المحققة</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SRP - Single Responsibility</w:t>
            </w:r>
          </w:p>
        </w:tc>
        <w:tc>
          <w:tcPr>
            <w:tcW w:type="dxa" w:w="388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فصل كل مسؤولية في موديول مستقل: النماذج، والمدققات، وعميل الاتصال KanjiClient، وخدمة التدقيق AuditService، ومعالج Webhook.</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سهولة التعديل والاختبار، ومنع تداخل منطق واجهات النظام مع منطق الامتثال الرقابي.</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OCP - Open/Closed Principle</w:t>
            </w:r>
          </w:p>
        </w:tc>
        <w:tc>
          <w:tcPr>
            <w:tcW w:type="dxa" w:w="388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تصميم محرك المخاطر بنمط الاستراتيجية (IRiskCalculationStrategy) ومدققات المفوترين لكل شكل قانوني.</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إمكانية دعم خوارزميات مخاطر جديدة أو أشكال شركات إضافية دون كسر الكود القديم.</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LSP - Liskov Substitution</w:t>
            </w:r>
          </w:p>
        </w:tc>
        <w:tc>
          <w:tcPr>
            <w:tcW w:type="dxa" w:w="388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استخدام النماذج المجردة TimeStampedUUIDModel و ImmutableComplianceModel.</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ضمان سلوك الأمان وتوليد معرّفات UUID ومنع الحذف البرمجي لجميع الجداول الرقابية المشتقة.</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ISP - Interface Segregation</w:t>
            </w:r>
          </w:p>
        </w:tc>
        <w:tc>
          <w:tcPr>
            <w:tcW w:type="dxa" w:w="388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تجزئة الواجهات إلى: ISanctionsScreeningClient, ITransactionMonitoringClient, IBillerValidator, IPartyValidator.</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عدم إجبار أي كلاس على تطبيق أو الاعتماد على دوال لا يحتاجها.</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DIP - Dependency Inversion</w:t>
            </w:r>
          </w:p>
        </w:tc>
        <w:tc>
          <w:tcPr>
            <w:tcW w:type="dxa" w:w="388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اعتماد BillerComplianceService على واجهات مجردة مع إمكانية حقن التبعيات (Dependency Injection).</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القدرة على التبديل الفوري بين نمط الاختبار (Sandbox / Mock) وبيئة الإنتاج المباشرة بمتغير بيئي.</w:t>
            </w:r>
          </w:p>
        </w:tc>
      </w:tr>
    </w:tbl>
    <w:p>
      <w:pPr>
        <w:spacing w:after="120"/>
      </w:pPr>
    </w:p>
    <w:p>
      <w:pPr>
        <w:spacing w:before="280" w:after="120"/>
        <w:jc w:val="right"/>
        <w:bidi/>
      </w:pPr>
      <w:r>
        <w:rPr>
          <w:rFonts w:ascii="Calibri" w:hAnsi="Calibri"/>
          <w:b/>
          <w:color w:val="0E76A8"/>
          <w:sz w:val="27"/>
        </w:rPr>
        <w:t>شجرة الملفات البرمجية للموديول (16 ملفاً برمجياً تم بناؤها واختبارها بنجاح):</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tahseel_aml/</w:t>
              <w:br/>
              <w:t>├── __init__.py                 # تصدير الحزمة والمكونات الأساسية</w:t>
              <w:br/>
              <w:t>├── apps.py                     # إعدادات تطبيق جانغو (TahseelAmlConfig)</w:t>
              <w:br/>
              <w:t>├── admin.py                    # لوحة التحكم الرقابية بأقفال الأمان</w:t>
              <w:br/>
              <w:t>├── DEVELOPER_DOCUMENTATION.md  # دليل المطورين الشامل</w:t>
              <w:br/>
              <w:t>│</w:t>
              <w:br/>
              <w:t>├── models/                     # [طبقة البيانات - Data Layer]</w:t>
              <w:br/>
              <w:t>│   ├── __init__.py             # تصدير موحد لكافة النماذج والخيارات</w:t>
              <w:br/>
              <w:t>│   ├── choices.py              # الثوابت الرقابية وقوائم الخيارات المعتمدة من EFRM</w:t>
              <w:br/>
              <w:t>│   ├── base.py                 # نماذج التجريد وحماية السجلات (Immutability &amp; Audit)</w:t>
              <w:br/>
              <w:t>│   ├── biller.py               # نموذج المفوتر ومؤشرات المخاطر ونظام الصانع والمراجع (Maker-Checker)</w:t>
              <w:br/>
              <w:t>│   ├── party.py                # نموذج الشركاء والملاك وحساب UBO/PEP/FATCA التلقائي</w:t>
              <w:br/>
              <w:t>│   ├── document.py             # نموذج الوثائق والمستندات الثبوتية وتتبع الصلاحية</w:t>
              <w:br/>
              <w:t>│   ├── screening.py            # سجلات نتائج الفحص والتطابقات والقوائم المحظورة</w:t>
              <w:br/>
              <w:t>│   └── transaction.py          # سجلات مراقبة الحركات المالية وأحداث الـ Webhooks</w:t>
              <w:br/>
              <w:t>│</w:t>
              <w:br/>
              <w:t>├── interfaces/                 # [طبقة العقود والواجهات المجردة - SOLID DIP]</w:t>
              <w:br/>
              <w:t>│   └── __init__.py             # واجهات فحص العقوبات والمخاطر والمعاملات</w:t>
              <w:br/>
              <w:t>│</w:t>
              <w:br/>
              <w:t>├── validators/                 # [طبقة محركات التحقق الرقابي - Single Responsibility]</w:t>
              <w:br/>
              <w:t>│   └── __init__.py             # مدققات الأشكال القانونية الأربعة (فردي، خاص، مختلط، حكومي)</w:t>
              <w:br/>
              <w:t>│</w:t>
              <w:br/>
              <w:t>└── services/                   # [طبقة الخدمات ومنطق الأعمال - Strategy Pattern]</w:t>
              <w:br/>
              <w:t xml:space="preserve">    ├── __init__.py             # خدمة إدارة المفوتر الشاملة ومحرك احتساب المخاطر والتدقيق</w:t>
              <w:br/>
              <w:t xml:space="preserve">    ├── kanji_client.py         # عميل الربط المتكامل مع Kanji / RiskBrains (Screening &amp; EFRM)</w:t>
              <w:br/>
              <w:t xml:space="preserve">    └── webhook_service.py      # معالج إشعارات Webhook للقرارات غير المتزامنة وتحديثات القضايا</w:t>
            </w:r>
          </w:p>
        </w:tc>
      </w:tr>
    </w:tbl>
    <w:p>
      <w:pPr>
        <w:spacing w:after="100"/>
      </w:pPr>
    </w:p>
    <w:p>
      <w:pPr>
        <w:spacing w:before="360" w:after="160"/>
        <w:jc w:val="right"/>
        <w:bidi/>
      </w:pPr>
      <w:r>
        <w:rPr>
          <w:rFonts w:ascii="Calibri" w:hAnsi="Calibri"/>
          <w:b/>
          <w:color w:val="0A2540"/>
          <w:sz w:val="34"/>
        </w:rPr>
        <w:t>3. توبولوجيا السيرفر المباشر وتفاصيل المنظومة الحية (Live Server Architecture)</w:t>
      </w:r>
    </w:p>
    <w:p>
      <w:pPr>
        <w:spacing w:line="288" w:lineRule="auto" w:after="100"/>
        <w:jc w:val="right"/>
        <w:bidi/>
      </w:pPr>
      <w:r>
        <w:rPr>
          <w:rFonts w:ascii="Calibri" w:hAnsi="Calibri"/>
          <w:b w:val="0"/>
          <w:color w:val="2C3E50"/>
          <w:sz w:val="21"/>
        </w:rPr>
        <w:t>خلال جلسات الاختبار والاتصال المباشر على السيرفر المستضاف محلياً لدى البيئة التجريبية، تم استكشاف منصة RiskBrains التابعة لشركة FinFactory وفحص منافذها وواجهاتها بدقة:</w:t>
      </w:r>
    </w:p>
    <w:tbl>
      <w:tblPr>
        <w:tblW w:type="auto" w:w="0"/>
        <w:jc w:val="center"/>
        <w:tblLayout w:type="fixed"/>
        <w:tblLook w:firstColumn="1" w:firstRow="1" w:lastColumn="0" w:lastRow="0" w:noHBand="0" w:noVBand="1" w:val="04A0"/>
        <w:bidiVisual/>
      </w:tblPr>
      <w:tblGrid>
        <w:gridCol w:w="3312"/>
        <w:gridCol w:w="3312"/>
        <w:gridCol w:w="3312"/>
      </w:tblGrid>
      <w:tr>
        <w:tc>
          <w:tcPr>
            <w:tcW w:type="dxa" w:w="288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الخدمة / المنفذ</w:t>
            </w:r>
          </w:p>
        </w:tc>
        <w:tc>
          <w:tcPr>
            <w:tcW w:type="dxa" w:w="360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الرابط البرمجي (Endpoint)</w:t>
            </w:r>
          </w:p>
        </w:tc>
        <w:tc>
          <w:tcPr>
            <w:tcW w:type="dxa" w:w="288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الوصف الفني وحالة الخدمة</w:t>
            </w:r>
          </w:p>
        </w:tc>
      </w:tr>
      <w:tr>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بوابة الواجهة والمنصة (Web UI)</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http://10.225.119.170/</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الواجهة الرئيسية لمنصة: RiskBrains - Unified Financial Crime Intelligence Platform</w:t>
            </w:r>
          </w:p>
        </w:tc>
      </w:tr>
      <w:tr>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محرك الفحص (Screening Engine)</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http://10.225.119.170:8000/screening/v1</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منفذ فحص المنشآت والأفراد، ويتضمن توثيق Swagger التفاعلي عبر /screening/v1/docs</w:t>
            </w:r>
          </w:p>
        </w:tc>
      </w:tr>
      <w:tr>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نقطة فحص الكيان المفرد</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POST /screening/v1/screening/entity/single</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النقطة المعتمدة لفحص المفوتر أو الشريك؛ تتطلب ترويسة x-api-key</w:t>
            </w:r>
          </w:p>
        </w:tc>
      </w:tr>
      <w:tr>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خدمة الإدارة والصلاحيات (URM)</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http://10.225.119.170:8001/admin/v1/urm/auth/login</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بوابة تسجيل دخول المستخدمين وإدارة أدوار ومسؤولي الامتثال (URM)</w:t>
            </w:r>
          </w:p>
        </w:tc>
      </w:tr>
      <w:tr>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سواجر محرك مراقبة المعاملات (Swagger UI)</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http://10.225.119.170:8083/ruleengine/v1/swagger-ui/index.html#/</w:t>
            </w:r>
          </w:p>
        </w:tc>
        <w:tc>
          <w:tcPr>
            <w:tcW w:type="dxa" w:w="288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توثيق Swagger التفاعلي لمحرك القواعد ومراقبة المعاملات (OpenAPI: /v3/api-docs)</w:t>
            </w:r>
          </w:p>
        </w:tc>
      </w:tr>
      <w:tr>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نقطة تقييم الحركة المالية اللحظية</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POST http://10.225.119.170:8083/ruleengine/v1/transaction/card_txn</w:t>
            </w:r>
          </w:p>
        </w:tc>
        <w:tc>
          <w:tcPr>
            <w:tcW w:type="dxa" w:w="288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نقطة تقييم حركات البطاقات والشراء اللحظية بنمطي SYNC و ASYNC (حماية X-API-KEY)</w:t>
            </w:r>
          </w:p>
        </w:tc>
      </w:tr>
    </w:tbl>
    <w:p>
      <w:pPr>
        <w:spacing w:after="120"/>
      </w:pPr>
    </w:p>
    <w:tbl>
      <w:tblPr>
        <w:tblW w:type="auto" w:w="0"/>
        <w:jc w:val="center"/>
        <w:tblLayout w:type="fixed"/>
        <w:tblLook w:firstColumn="1" w:firstRow="1" w:lastColumn="0" w:lastRow="0" w:noHBand="0" w:noVBand="1" w:val="04A0"/>
        <w:bidiVisual/>
      </w:tblPr>
      <w:tblGrid>
        <w:gridCol w:w="9936"/>
      </w:tblGrid>
      <w:tr>
        <w:tc>
          <w:tcPr>
            <w:tcW w:type="dxa" w:w="9360"/>
            <w:shd w:fill="F0F9FF"/>
            <w:tcMar>
              <w:top w:w="130" w:type="dxa"/>
              <w:bottom w:w="130" w:type="dxa"/>
              <w:left w:w="180" w:type="dxa"/>
              <w:right w:w="180" w:type="dxa"/>
            </w:tcMar>
            <w:tcBorders>
              <w:top w:val="none"/>
              <w:bottom w:val="none"/>
              <w:left w:val="none"/>
              <w:right w:val="single" w:sz="24" w:space="0" w:color="0284C7"/>
            </w:tcBorders>
          </w:tcPr>
          <w:p>
            <w:pPr>
              <w:spacing w:after="60"/>
              <w:jc w:val="right"/>
              <w:bidi/>
            </w:pPr>
            <w:r>
              <w:rPr>
                <w:rFonts w:ascii="Calibri" w:hAnsi="Calibri"/>
                <w:b/>
                <w:color w:val="0E76A8"/>
                <w:sz w:val="22"/>
              </w:rPr>
              <w:t>📌 بروتوكول التحقق الأمني عبر x-api-key</w:t>
              <w:br/>
            </w:r>
            <w:r>
              <w:rPr>
                <w:rFonts w:ascii="Calibri" w:hAnsi="Calibri"/>
                <w:color w:val="2C3E50"/>
                <w:sz w:val="20"/>
              </w:rPr>
              <w:t>أكدت الاختبارات الحية أن السيرفر محمي بالكامل ويستجيب برمز الخطأ 401 INVALID_API_KEY عند محاولة استدعاء أي مسار دون ترويسة التوثيق: {'detail': {'error': 'INVALID_API_KEY', 'message': 'A valid x-api-key is required.'}}. تم تجهيز كلاس KanjiEFRMClient ليدعم إرسال هذا المفتاح فور استلامه من فريق FinFactory.</w:t>
            </w:r>
          </w:p>
        </w:tc>
      </w:tr>
    </w:tbl>
    <w:p>
      <w:pPr>
        <w:spacing w:after="80"/>
      </w:pPr>
    </w:p>
    <w:p>
      <w:pPr>
        <w:spacing w:before="360" w:after="160"/>
        <w:jc w:val="right"/>
        <w:bidi/>
      </w:pPr>
      <w:r>
        <w:rPr>
          <w:rFonts w:ascii="Calibri" w:hAnsi="Calibri"/>
          <w:b/>
          <w:color w:val="0A2540"/>
          <w:sz w:val="34"/>
        </w:rPr>
        <w:t>4. المعايير والمحددات المعتمدة رسمياً بين الطرفين (System Parameters)</w:t>
      </w:r>
    </w:p>
    <w:p>
      <w:pPr>
        <w:spacing w:line="288" w:lineRule="auto" w:after="100"/>
        <w:jc w:val="right"/>
        <w:bidi/>
      </w:pPr>
      <w:r>
        <w:rPr>
          <w:rFonts w:ascii="Calibri" w:hAnsi="Calibri"/>
          <w:b w:val="0"/>
          <w:color w:val="2C3E50"/>
          <w:sz w:val="21"/>
        </w:rPr>
        <w:t>بموجب المراجعة الدقيقة لملف معاملات البطاقات المعتمد (ultimate_pay_pg_card_txn_parameters.xlsx) والتواصل مع مزود النظام، تم تثبيت المعايير الرسمية التالية:</w:t>
      </w:r>
    </w:p>
    <w:tbl>
      <w:tblPr>
        <w:tblW w:type="auto" w:w="0"/>
        <w:jc w:val="center"/>
        <w:tblLayout w:type="fixed"/>
        <w:tblLook w:firstColumn="1" w:firstRow="1" w:lastColumn="0" w:lastRow="0" w:noHBand="0" w:noVBand="1" w:val="04A0"/>
        <w:bidiVisual/>
      </w:tblPr>
      <w:tblGrid>
        <w:gridCol w:w="3312"/>
        <w:gridCol w:w="3312"/>
        <w:gridCol w:w="3312"/>
      </w:tblGrid>
      <w:tr>
        <w:tc>
          <w:tcPr>
            <w:tcW w:type="dxa" w:w="3024"/>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المعيار / المعرّف (Parameter)</w:t>
            </w:r>
          </w:p>
        </w:tc>
        <w:tc>
          <w:tcPr>
            <w:tcW w:type="dxa" w:w="3024"/>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القيمة الرسمية المعتمدة</w:t>
            </w:r>
          </w:p>
        </w:tc>
        <w:tc>
          <w:tcPr>
            <w:tcW w:type="dxa" w:w="331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الاستخدام وموقع التعيين في المنظومة</w:t>
            </w:r>
          </w:p>
        </w:tc>
      </w:tr>
      <w:tr>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institution_id</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ULTIMATE_PAY</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رمز مؤسستنا المالي الموحد لدى منصة AML/EFRM لجميع العمليات والحركات.</w:t>
            </w:r>
          </w:p>
        </w:tc>
      </w:tr>
      <w:tr>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source_system (Screening)</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TAHSEEL</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اسم النظام المصدر لعمليات فحص المنشآت والمفوترين والشركاء والمستفيدين.</w:t>
            </w:r>
          </w:p>
        </w:tc>
      </w:tr>
      <w:tr>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source_system (Txn Monitoring)</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PG_SWITCH</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اسم النظام المصدر لحركات الدفع والبطاقات ونقاط البيع وبوابات الدفع.</w:t>
            </w:r>
          </w:p>
        </w:tc>
      </w:tr>
      <w:tr>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fact</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card_txn</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اسم حقيقة البيانات في محرك القواعد لمعاملات البطاقات والمشتريات والاسترداد.</w:t>
            </w:r>
          </w:p>
        </w:tc>
      </w:tr>
      <w:tr>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channel</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POS / ECOM / ATM</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قنوات العمليات: نقاط البيع (POS)، المتاجر الإلكترونية (ECOM)، والصراف الآلي (ATM).</w:t>
            </w:r>
          </w:p>
        </w:tc>
      </w:tr>
      <w:tr>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mode</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SYNC / ASYNC</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SYNC للتقييم المتزامن الفوري لنقاط البيع | ASYNC للتقييم الخلفي والتدقيق.</w:t>
            </w:r>
          </w:p>
        </w:tc>
      </w:tr>
      <w:tr>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currency_code</w:t>
            </w:r>
          </w:p>
        </w:tc>
        <w:tc>
          <w:tcPr>
            <w:tcW w:type="dxa" w:w="3024"/>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886 / 840 / 682</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العملات المعيارية ISO: 886 (ريال يمني), 840 (دولار أمريكي), 682 (ريال سعودي).</w:t>
            </w:r>
          </w:p>
        </w:tc>
      </w:tr>
      <w:tr>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Webhook URL</w:t>
            </w:r>
          </w:p>
        </w:tc>
        <w:tc>
          <w:tcPr>
            <w:tcW w:type="dxa" w:w="3024"/>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https://tahseeltest.ultimate-pay.net/api/aml/webhook/</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الرابط الموحد لاستقبال قرارات الحركات غير المتزامنة وتحديثات القضايا.</w:t>
            </w:r>
          </w:p>
        </w:tc>
      </w:tr>
    </w:tbl>
    <w:p>
      <w:pPr>
        <w:spacing w:after="120"/>
      </w:pPr>
    </w:p>
    <w:p>
      <w:pPr>
        <w:spacing w:before="360" w:after="160"/>
        <w:jc w:val="right"/>
        <w:bidi/>
      </w:pPr>
      <w:r>
        <w:rPr>
          <w:rFonts w:ascii="Calibri" w:hAnsi="Calibri"/>
          <w:b/>
          <w:color w:val="0A2540"/>
          <w:sz w:val="34"/>
        </w:rPr>
        <w:t>5. الركيزة الأولى: مواصفات فحص العقوبات والقوائم المحظورة (Screening Engine)</w:t>
      </w:r>
    </w:p>
    <w:p>
      <w:pPr>
        <w:spacing w:line="288" w:lineRule="auto" w:after="100"/>
        <w:jc w:val="right"/>
        <w:bidi/>
      </w:pPr>
      <w:r>
        <w:rPr>
          <w:rFonts w:ascii="Calibri" w:hAnsi="Calibri"/>
          <w:b w:val="0"/>
          <w:color w:val="2C3E50"/>
          <w:sz w:val="21"/>
        </w:rPr>
        <w:t>تعتمد عملية الفحص الرقابي في tahseel_aml على التمييز الدقيق بين الكيان التجاري الأساسي والأطراف المرتبطة به:</w:t>
      </w:r>
    </w:p>
    <w:p>
      <w:pPr>
        <w:spacing w:before="280" w:after="120"/>
        <w:jc w:val="right"/>
        <w:bidi/>
      </w:pPr>
      <w:r>
        <w:rPr>
          <w:rFonts w:ascii="Calibri" w:hAnsi="Calibri"/>
          <w:b/>
          <w:color w:val="0E76A8"/>
          <w:sz w:val="27"/>
        </w:rPr>
        <w:t>الهيكلية الثنائية للفحص الرقابي (Two-Tier Hierarchy):</w:t>
      </w:r>
    </w:p>
    <w:p>
      <w:pPr>
        <w:spacing w:line="276" w:lineRule="auto" w:after="80"/>
        <w:ind w:right="280"/>
        <w:jc w:val="right"/>
        <w:bidi/>
      </w:pPr>
      <w:r>
        <w:rPr>
          <w:rFonts w:ascii="Calibri" w:hAnsi="Calibri"/>
          <w:b/>
          <w:color w:val="0E76A8"/>
        </w:rPr>
        <w:t xml:space="preserve">• </w:t>
      </w:r>
      <w:r>
        <w:rPr>
          <w:rFonts w:ascii="Calibri" w:hAnsi="Calibri"/>
          <w:color w:val="2C3E50"/>
          <w:sz w:val="20"/>
        </w:rPr>
        <w:t>فحص الكيان الأساسي (Primary Entity): يتم فحص المنشأة أو الشركة تحت entity_type: ORGANIZATION وبصفة entity_relation: CUSTOMER، ويُمرر معرّف المفوتر كـ external_entity_id.</w:t>
      </w:r>
    </w:p>
    <w:p>
      <w:pPr>
        <w:spacing w:line="276" w:lineRule="auto" w:after="80"/>
        <w:ind w:right="280"/>
        <w:jc w:val="right"/>
        <w:bidi/>
      </w:pPr>
      <w:r>
        <w:rPr>
          <w:rFonts w:ascii="Calibri" w:hAnsi="Calibri"/>
          <w:b/>
          <w:color w:val="0E76A8"/>
        </w:rPr>
        <w:t xml:space="preserve">• </w:t>
      </w:r>
      <w:r>
        <w:rPr>
          <w:rFonts w:ascii="Calibri" w:hAnsi="Calibri"/>
          <w:color w:val="2C3E50"/>
          <w:sz w:val="20"/>
        </w:rPr>
        <w:t>فحص الأطراف المرتبطة (Secondary Related Entities): يتم فحص كل شريك، أو مالك، أو مدير، أو مفوض بالتوقيع كـ entity_type: INDIVIDUAL، مع ربطه إلزامياً بالكيان الأساسي من خلال تمرير كود المفوتر في حقل primary_entity_id.</w:t>
      </w:r>
    </w:p>
    <w:p>
      <w:pPr>
        <w:spacing w:before="280" w:after="120"/>
        <w:jc w:val="right"/>
        <w:bidi/>
      </w:pPr>
      <w:r>
        <w:rPr>
          <w:rFonts w:ascii="Calibri" w:hAnsi="Calibri"/>
          <w:b/>
          <w:color w:val="0E76A8"/>
          <w:sz w:val="27"/>
        </w:rPr>
        <w:t>جدول مطابقة نقاط البيانات الـ 24 الإلزامية (Screening 24 Data Points Mapping Matrix):</w:t>
      </w:r>
    </w:p>
    <w:tbl>
      <w:tblPr>
        <w:tblW w:type="auto" w:w="0"/>
        <w:jc w:val="center"/>
        <w:tblLayout w:type="fixed"/>
        <w:tblLook w:firstColumn="1" w:firstRow="1" w:lastColumn="0" w:lastRow="0" w:noHBand="0" w:noVBand="1" w:val="04A0"/>
        <w:bidiVisual/>
      </w:tblPr>
      <w:tblGrid>
        <w:gridCol w:w="2484"/>
        <w:gridCol w:w="2484"/>
        <w:gridCol w:w="2484"/>
        <w:gridCol w:w="2484"/>
      </w:tblGrid>
      <w:tr>
        <w:tc>
          <w:tcPr>
            <w:tcW w:type="dxa" w:w="576"/>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w:t>
            </w:r>
          </w:p>
        </w:tc>
        <w:tc>
          <w:tcPr>
            <w:tcW w:type="dxa" w:w="259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اسم الحقل في API المحرك</w:t>
            </w:r>
          </w:p>
        </w:tc>
        <w:tc>
          <w:tcPr>
            <w:tcW w:type="dxa" w:w="216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نوعه وحالته</w:t>
            </w:r>
          </w:p>
        </w:tc>
        <w:tc>
          <w:tcPr>
            <w:tcW w:type="dxa" w:w="403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المصدر المقابل في منصة تحصيل (tahseel_aml)</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source_system</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كود النظام المصدر: 'TAHSEEL'</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channel</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قناة الفحص: 'ONBOARDING' أو 'PERIODIC_REVIEW'</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3</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institution_id</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كود المؤسسة المعرف رسمياً: 'ULTIMATE_PAY'</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4</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entity_type</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للمنشأة: ORGANIZATION / للأفراد: INDIVIDUAL</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5</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entity_relation</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الصفة: CUSTOMER, DIRECTOR, POC, AUTHORIZED_SIGNATORY</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6</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external_entity_id</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 (Primary)</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كود المفوتر في تحصيل: biller.biller_code</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7</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primary_entity_id</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 (Secondary)</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معرّف المنشأة الأساسية التي يتبع لها الطرف المفحوص</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8</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relation_entity_id</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معرّف الطرف في تحصيل: str(party.id)</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9</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name</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الاسم الرسمي: biller.name_en / party.full_name_en</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10</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dob</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 (Individuals)</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تاريخ الميلاد بصيغة YYYY-MM-DD للأفراد</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11</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country</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رمز الدولة المعياري ISO Alpha-2 (مثل YE, AE, SA)</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12</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address</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Recommended</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العنوان التفصيلي المسجل للمنشأة أو الطرف</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13</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gender</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الجنس للأفراد: MALE أو FEMALE</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14</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entity_sub_type</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التصنيف القانوني: LIMITED_LIABILITY_COMPANY, SOLE_PROPRIETORSHIP</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15</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id_type1</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نوع الهوية الأساسي: REGISTRATION_ID, NATIONAL_ID, PASSPORT</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16</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id_value1</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رقم السجل التجاري أو رقم الهوية الوطنية</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17</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id_type2</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نوع الهوية الثاني: TAX_ID (الرقم الضريبي)</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18</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id_value2</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الرقم الضريبي / الزكوي: biller.tax_number</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19</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id_type3</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نوع الهوية الثالث: OTHER (الترخيص المهني)</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20</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id_value3</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رقم الترخيص المهني: biller.license_number</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21</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phone_no</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رقم الهاتف المسجل للمنشأة أو الطرف</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22</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email</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البريد الإلكتروني المسجل</w:t>
            </w:r>
          </w:p>
        </w:tc>
      </w:tr>
      <w:tr>
        <w:tc>
          <w:tcPr>
            <w:tcW w:type="dxa" w:w="576"/>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23</w:t>
            </w:r>
          </w:p>
        </w:tc>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metadata</w:t>
            </w:r>
          </w:p>
        </w:tc>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Optional</w:t>
            </w:r>
          </w:p>
        </w:tc>
        <w:tc>
          <w:tcPr>
            <w:tcW w:type="dxa" w:w="403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بيانات وصفية JSON (النسبة، PEP، UBO، الفرع، المستخدم)</w:t>
            </w:r>
          </w:p>
        </w:tc>
      </w:tr>
      <w:tr>
        <w:tc>
          <w:tcPr>
            <w:tcW w:type="dxa" w:w="576"/>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24</w:t>
            </w:r>
          </w:p>
        </w:tc>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client_request_id</w:t>
            </w:r>
          </w:p>
        </w:tc>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Required</w:t>
            </w:r>
          </w:p>
        </w:tc>
        <w:tc>
          <w:tcPr>
            <w:tcW w:type="dxa" w:w="403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معرّف الطلب المولد من تحصيل لمنع التكرار (Idempotency)</w:t>
            </w:r>
          </w:p>
        </w:tc>
      </w:tr>
    </w:tbl>
    <w:p>
      <w:pPr>
        <w:spacing w:after="120"/>
      </w:pPr>
    </w:p>
    <w:p>
      <w:pPr>
        <w:spacing w:before="280" w:after="120"/>
        <w:jc w:val="right"/>
        <w:bidi/>
      </w:pPr>
      <w:r>
        <w:rPr>
          <w:rFonts w:ascii="Calibri" w:hAnsi="Calibri"/>
          <w:b/>
          <w:color w:val="0E76A8"/>
          <w:sz w:val="27"/>
        </w:rPr>
        <w:t>نموذج حمولة فحص الكيان التجاري الأساسي (Primary Organization Payload):</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"entity_type": "ORGANIZATION",</w:t>
              <w:br/>
              <w:t xml:space="preserve">  "entity_relation": "CUSTOMER",</w:t>
              <w:br/>
              <w:t xml:space="preserve">  "external_entity_id": "BIL-YE-00109",</w:t>
              <w:br/>
              <w:t xml:space="preserve">  "channel": "ONBOARDING",</w:t>
              <w:br/>
              <w:t xml:space="preserve">  "source_system": "TAHSEEL",</w:t>
              <w:br/>
              <w:t xml:space="preserve">  "institution_id": "ULTIMATE_PAY",</w:t>
              <w:br/>
              <w:t xml:space="preserve">  "client_request_id": "TAH-SCR-REQ-000109",</w:t>
              <w:br/>
              <w:t xml:space="preserve">  "payload": {</w:t>
              <w:br/>
              <w:t xml:space="preserve">    "name": "Al-Amal Telecom &amp; Trading LLC",</w:t>
              <w:br/>
              <w:t xml:space="preserve">    "country": "YE",</w:t>
              <w:br/>
              <w:t xml:space="preserve">    "address": "Zubairy Street, Sana'a, Yemen",</w:t>
              <w:br/>
              <w:t xml:space="preserve">    "entity_sub_type": "LIMITED_LIABILITY_COMPANY",</w:t>
              <w:br/>
              <w:t xml:space="preserve">    "id_type1": "REGISTRATION_ID",</w:t>
              <w:br/>
              <w:t xml:space="preserve">    "id_value1": "CR-1002345",</w:t>
              <w:br/>
              <w:t xml:space="preserve">    "id_type2": "TAX_ID",</w:t>
              <w:br/>
              <w:t xml:space="preserve">    "id_value2": "TRN-998877",</w:t>
              <w:br/>
              <w:t xml:space="preserve">    "id_type3": "OTHER",</w:t>
              <w:br/>
              <w:t xml:space="preserve">    "id_value3": "LIC-554433",</w:t>
              <w:br/>
              <w:t xml:space="preserve">    "phone_no": "+9671234567",</w:t>
              <w:br/>
              <w:t xml:space="preserve">    "email": "compliance@alamal-trading.ye",</w:t>
              <w:br/>
              <w:t xml:space="preserve">    "metadata": {</w:t>
              <w:br/>
              <w:t xml:space="preserve">      "biller_code": "BIL-YE-00109",</w:t>
              <w:br/>
              <w:t xml:space="preserve">      "sector": "TELECOMMUNICATION",</w:t>
              <w:br/>
              <w:t xml:space="preserve">      "mcc_code": "4814"</w:t>
              <w:br/>
              <w:t xml:space="preserve">    }</w:t>
              <w:br/>
              <w:t xml:space="preserve">  }</w:t>
              <w:br/>
              <w:t>}</w:t>
            </w:r>
          </w:p>
        </w:tc>
      </w:tr>
    </w:tbl>
    <w:p>
      <w:pPr>
        <w:spacing w:after="100"/>
      </w:pPr>
    </w:p>
    <w:p>
      <w:pPr>
        <w:spacing w:before="280" w:after="120"/>
        <w:jc w:val="right"/>
        <w:bidi/>
      </w:pPr>
      <w:r>
        <w:rPr>
          <w:rFonts w:ascii="Calibri" w:hAnsi="Calibri"/>
          <w:b/>
          <w:color w:val="0E76A8"/>
          <w:sz w:val="27"/>
        </w:rPr>
        <w:t>نموذج حمولة فحص الطرف المرتبط (Secondary Related Party Payload):</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"entity_type": "INDIVIDUAL",</w:t>
              <w:br/>
              <w:t xml:space="preserve">  "entity_relation": "AUTHORIZED_SIGNATORY",</w:t>
              <w:br/>
              <w:t xml:space="preserve">  "external_entity_id": "4b68e991-23a1-456b-bc54-e0c1f2345678",</w:t>
              <w:br/>
              <w:t xml:space="preserve">  "primary_entity_id": "BIL-YE-00109",</w:t>
              <w:br/>
              <w:t xml:space="preserve">  "relation_entity_id": "4b68e991-23a1-456b-bc54-e0c1f2345678",</w:t>
              <w:br/>
              <w:t xml:space="preserve">  "channel": "ONBOARDING",</w:t>
              <w:br/>
              <w:t xml:space="preserve">  "source_system": "TAHSEEL",</w:t>
              <w:br/>
              <w:t xml:space="preserve">  "institution_id": "ULTIMATE_PAY",</w:t>
              <w:br/>
              <w:t xml:space="preserve">  "client_request_id": "TAH-SCR-REQ-000110",</w:t>
              <w:br/>
              <w:t xml:space="preserve">  "payload": {</w:t>
              <w:br/>
              <w:t xml:space="preserve">    "name": "Ahmed Mohamed Al-Shami",</w:t>
              <w:br/>
              <w:t xml:space="preserve">    "dob": "1988-05-14",</w:t>
              <w:br/>
              <w:t xml:space="preserve">    "country": "YE",</w:t>
              <w:br/>
              <w:t xml:space="preserve">    "gender": "MALE",</w:t>
              <w:br/>
              <w:t xml:space="preserve">    "address": "Hadda Street, Sana'a, Yemen",</w:t>
              <w:br/>
              <w:t xml:space="preserve">    "id_type1": "NATIONAL_ID",</w:t>
              <w:br/>
              <w:t xml:space="preserve">    "id_value1": "01010098765",</w:t>
              <w:br/>
              <w:t xml:space="preserve">    "phone_no": "+967771234567",</w:t>
              <w:br/>
              <w:t xml:space="preserve">    "email": "ahmed.shami@alamal-trading.ye",</w:t>
              <w:br/>
              <w:t xml:space="preserve">    "metadata": {</w:t>
              <w:br/>
              <w:t xml:space="preserve">      "role": "AUTHORIZED_SIGNATORY",</w:t>
              <w:br/>
              <w:t xml:space="preserve">      "equity_percentage": 35.0,</w:t>
              <w:br/>
              <w:t xml:space="preserve">      "is_ubo": true,</w:t>
              <w:br/>
              <w:t xml:space="preserve">      "is_pep": false</w:t>
              <w:br/>
              <w:t xml:space="preserve">    }</w:t>
              <w:br/>
              <w:t xml:space="preserve">  }</w:t>
              <w:br/>
              <w:t>}</w:t>
            </w:r>
          </w:p>
        </w:tc>
      </w:tr>
    </w:tbl>
    <w:p>
      <w:pPr>
        <w:spacing w:after="100"/>
      </w:pPr>
    </w:p>
    <w:p>
      <w:pPr>
        <w:spacing w:before="360" w:after="160"/>
        <w:jc w:val="right"/>
        <w:bidi/>
      </w:pPr>
      <w:r>
        <w:rPr>
          <w:rFonts w:ascii="Calibri" w:hAnsi="Calibri"/>
          <w:b/>
          <w:color w:val="0A2540"/>
          <w:sz w:val="34"/>
        </w:rPr>
        <w:t>6. الركيزة الثانية: مواصفات مراقبة المعاملات المالية اللحظية (Transaction Monitoring)</w:t>
      </w:r>
    </w:p>
    <w:p>
      <w:pPr>
        <w:spacing w:line="288" w:lineRule="auto" w:after="100"/>
        <w:jc w:val="right"/>
        <w:bidi/>
      </w:pPr>
      <w:r>
        <w:rPr>
          <w:rFonts w:ascii="Calibri" w:hAnsi="Calibri"/>
          <w:b w:val="0"/>
          <w:color w:val="2C3E50"/>
          <w:sz w:val="21"/>
        </w:rPr>
        <w:t>تتولى منظومة EFRM تقييم العمليات المالية للحماية من الاحتيال المالي وغسل الأموال، وتدعم نمطين رئيسيين:</w:t>
      </w:r>
    </w:p>
    <w:p>
      <w:pPr>
        <w:spacing w:before="280" w:after="120"/>
        <w:jc w:val="right"/>
        <w:bidi/>
      </w:pPr>
      <w:r>
        <w:rPr>
          <w:rFonts w:ascii="Calibri" w:hAnsi="Calibri"/>
          <w:b/>
          <w:color w:val="0E76A8"/>
          <w:sz w:val="27"/>
        </w:rPr>
        <w:t>أنماط التقييم وقنوات الدفع المعتمدة:</w:t>
      </w:r>
    </w:p>
    <w:p>
      <w:pPr>
        <w:spacing w:line="276" w:lineRule="auto" w:after="80"/>
        <w:ind w:right="280"/>
        <w:jc w:val="right"/>
        <w:bidi/>
      </w:pPr>
      <w:r>
        <w:rPr>
          <w:rFonts w:ascii="Calibri" w:hAnsi="Calibri"/>
          <w:b/>
          <w:color w:val="0E76A8"/>
        </w:rPr>
        <w:t xml:space="preserve">• </w:t>
      </w:r>
      <w:r>
        <w:rPr>
          <w:rFonts w:ascii="Calibri" w:hAnsi="Calibri"/>
          <w:color w:val="2C3E50"/>
          <w:sz w:val="20"/>
        </w:rPr>
        <w:t>النمط المتزامن اللحظي (SYNC): يُستخدم لتقييم حركات الشراء والسحب في نقاط البيع (POS) وبوابات الدفع الإلكتروني (ECOM) لمنع الحركات الاحتيالية قبل إتمام الخصم المالي، حيث يعيد المحرك القرار خلال أقل من 100ms.</w:t>
      </w:r>
    </w:p>
    <w:p>
      <w:pPr>
        <w:spacing w:line="276" w:lineRule="auto" w:after="80"/>
        <w:ind w:right="280"/>
        <w:jc w:val="right"/>
        <w:bidi/>
      </w:pPr>
      <w:r>
        <w:rPr>
          <w:rFonts w:ascii="Calibri" w:hAnsi="Calibri"/>
          <w:b/>
          <w:color w:val="0E76A8"/>
        </w:rPr>
        <w:t xml:space="preserve">• </w:t>
      </w:r>
      <w:r>
        <w:rPr>
          <w:rFonts w:ascii="Calibri" w:hAnsi="Calibri"/>
          <w:color w:val="2C3E50"/>
          <w:sz w:val="20"/>
        </w:rPr>
        <w:t>النمط غير المتزامن (ASYNC): يُستخدم في التسويات الختامية أو فحص الحركات الدفعية ذات الحجم الكبير، حيث يعيد المحرك كود استلام فوري (ACCEPTED) ثم يرسل القرار عبر Webhook لاحقاً.</w:t>
      </w:r>
    </w:p>
    <w:p>
      <w:pPr>
        <w:spacing w:before="280" w:after="120"/>
        <w:jc w:val="right"/>
        <w:bidi/>
      </w:pPr>
      <w:r>
        <w:rPr>
          <w:rFonts w:ascii="Calibri" w:hAnsi="Calibri"/>
          <w:b/>
          <w:color w:val="0E76A8"/>
          <w:sz w:val="27"/>
        </w:rPr>
        <w:t>مصفوفة القرارات التشغيلية في منصة تحصيل:</w:t>
      </w:r>
    </w:p>
    <w:tbl>
      <w:tblPr>
        <w:tblW w:type="auto" w:w="0"/>
        <w:jc w:val="center"/>
        <w:tblLayout w:type="fixed"/>
        <w:tblLook w:firstColumn="1" w:firstRow="1" w:lastColumn="0" w:lastRow="0" w:noHBand="0" w:noVBand="1" w:val="04A0"/>
        <w:bidiVisual/>
      </w:tblPr>
      <w:tblGrid>
        <w:gridCol w:w="3312"/>
        <w:gridCol w:w="3312"/>
        <w:gridCol w:w="3312"/>
      </w:tblGrid>
      <w:tr>
        <w:tc>
          <w:tcPr>
            <w:tcW w:type="dxa" w:w="216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قرار EFRM</w:t>
            </w:r>
          </w:p>
        </w:tc>
        <w:tc>
          <w:tcPr>
            <w:tcW w:type="dxa" w:w="331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المعنى الفني والرقابي</w:t>
            </w:r>
          </w:p>
        </w:tc>
        <w:tc>
          <w:tcPr>
            <w:tcW w:type="dxa" w:w="3888"/>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الإجراء الفوري في منصة تحصيل</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ALLOW</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حركة آمنة ومنخفضة المخاطر</w:t>
            </w:r>
          </w:p>
        </w:tc>
        <w:tc>
          <w:tcPr>
            <w:tcW w:type="dxa" w:w="388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إتمام المعاملة وقيد المبلغ لحساب المفوتر فورياً.</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BLOCK</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حركة احتيالية أو تطابق مع قوائم الحظر</w:t>
            </w:r>
          </w:p>
        </w:tc>
        <w:tc>
          <w:tcPr>
            <w:tcW w:type="dxa" w:w="388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رفض المعاملة فورياً وإشعار نقطة البيع برسالة الرفض وتوليد تنبيه رقابي.</w:t>
            </w:r>
          </w:p>
        </w:tc>
      </w:tr>
      <w:tr>
        <w:tc>
          <w:tcPr>
            <w:tcW w:type="dxa" w:w="216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REVIEW</w:t>
            </w:r>
          </w:p>
        </w:tc>
        <w:tc>
          <w:tcPr>
            <w:tcW w:type="dxa" w:w="331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حركة مشبوهة تستلزم التدقيق</w:t>
            </w:r>
          </w:p>
        </w:tc>
        <w:tc>
          <w:tcPr>
            <w:tcW w:type="dxa" w:w="388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تعليق العملية مؤقتاً (Hold) أو تنفيذها تحت رقابة مسؤول الامتثال.</w:t>
            </w:r>
          </w:p>
        </w:tc>
      </w:tr>
      <w:tr>
        <w:tc>
          <w:tcPr>
            <w:tcW w:type="dxa" w:w="216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STEPUP</w:t>
            </w:r>
          </w:p>
        </w:tc>
        <w:tc>
          <w:tcPr>
            <w:tcW w:type="dxa" w:w="331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تتطلب مصادقة إضافية لحامل البطاقة</w:t>
            </w:r>
          </w:p>
        </w:tc>
        <w:tc>
          <w:tcPr>
            <w:tcW w:type="dxa" w:w="388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تفعيل التحقق الإضافي (طلب رمز OTP للعميل أو بصمة حيوية).</w:t>
            </w:r>
          </w:p>
        </w:tc>
      </w:tr>
    </w:tbl>
    <w:p>
      <w:pPr>
        <w:spacing w:after="120"/>
      </w:pPr>
    </w:p>
    <w:p>
      <w:pPr>
        <w:spacing w:before="280" w:after="120"/>
        <w:jc w:val="right"/>
        <w:bidi/>
      </w:pPr>
      <w:r>
        <w:rPr>
          <w:rFonts w:ascii="Calibri" w:hAnsi="Calibri"/>
          <w:b/>
          <w:color w:val="0E76A8"/>
          <w:sz w:val="27"/>
        </w:rPr>
        <w:t>نموذج حمولة تقييم الحركة المالية (ISO 8583 Card Transaction Payload):</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"payload": {</w:t>
              <w:br/>
              <w:t xml:space="preserve">    "institution_id": "ULTIMATE_PAY",</w:t>
              <w:br/>
              <w:t xml:space="preserve">    "source_system": "PG_SWITCH",</w:t>
              <w:br/>
              <w:t xml:space="preserve">    "fact": "card_txn",</w:t>
              <w:br/>
              <w:t xml:space="preserve">    "mode": "SYNC",</w:t>
              <w:br/>
              <w:t xml:space="preserve">    "channel": "POS",</w:t>
              <w:br/>
              <w:t xml:space="preserve">    "source_txn_id": "TXN-20261015-998811",</w:t>
              <w:br/>
              <w:t xml:space="preserve">    "request_id": "REQ-SYNC-000001",</w:t>
              <w:br/>
              <w:t xml:space="preserve">    "txnreqtrandate": "261015143000",</w:t>
              <w:br/>
              <w:t xml:space="preserve">    "pan": "411111******1111",</w:t>
              <w:br/>
              <w:t xml:space="preserve">    "processing_code": "000000",</w:t>
              <w:br/>
              <w:t xml:space="preserve">    "amount": 45000.00,</w:t>
              <w:br/>
              <w:t xml:space="preserve">    "stan": "654321",</w:t>
              <w:br/>
              <w:t xml:space="preserve">    "local_time": "143000",</w:t>
              <w:br/>
              <w:t xml:space="preserve">    "local_date": "1015",</w:t>
              <w:br/>
              <w:t xml:space="preserve">    "mcc": "5411",</w:t>
              <w:br/>
              <w:t xml:space="preserve">    "country_code": "886",</w:t>
              <w:br/>
              <w:t xml:space="preserve">    "pos_entry_mode": "051",</w:t>
              <w:br/>
              <w:t xml:space="preserve">    "pos_condition_code": "00",</w:t>
              <w:br/>
              <w:t xml:space="preserve">    "pin_capture_code": "12",</w:t>
              <w:br/>
              <w:t xml:space="preserve">    "acquiring_institution_id": "ACQ_ULTIMATE",</w:t>
              <w:br/>
              <w:t xml:space="preserve">    "forwarding_institution_id": "FWD_ULTIMATE",</w:t>
              <w:br/>
              <w:t xml:space="preserve">    "rrn": "626101500001",</w:t>
              <w:br/>
              <w:t xml:space="preserve">    "authorization_id": "AUTH9876",</w:t>
              <w:br/>
              <w:t xml:space="preserve">    "response_code": "00",</w:t>
              <w:br/>
              <w:t xml:space="preserve">    "terminal_id": "POS-TERM-098",</w:t>
              <w:br/>
              <w:t xml:space="preserve">    "customer_id": "CUST-987654",</w:t>
              <w:br/>
              <w:t xml:space="preserve">    "merchant_name_location": "SUPERMARKET SANA'A YE",</w:t>
              <w:br/>
              <w:t xml:space="preserve">    "currency_code": "886"</w:t>
              <w:br/>
              <w:t xml:space="preserve">  }</w:t>
              <w:br/>
              <w:t>}</w:t>
            </w:r>
          </w:p>
        </w:tc>
      </w:tr>
    </w:tbl>
    <w:p>
      <w:pPr>
        <w:spacing w:after="100"/>
      </w:pPr>
    </w:p>
    <w:p>
      <w:pPr>
        <w:spacing w:before="280" w:after="120"/>
        <w:jc w:val="right"/>
        <w:bidi/>
      </w:pPr>
      <w:r>
        <w:rPr>
          <w:rFonts w:ascii="Calibri" w:hAnsi="Calibri"/>
          <w:b/>
          <w:color w:val="0E76A8"/>
          <w:sz w:val="27"/>
        </w:rPr>
        <w:t>نموذج استجابة محرك القواعد المباشر (RuleEngineResponse - Port 8083):</w:t>
      </w:r>
    </w:p>
    <w:p>
      <w:pPr>
        <w:spacing w:line="288" w:lineRule="auto" w:after="100"/>
        <w:jc w:val="right"/>
        <w:bidi/>
      </w:pPr>
      <w:r>
        <w:rPr>
          <w:rFonts w:ascii="Calibri" w:hAnsi="Calibri"/>
          <w:b w:val="0"/>
          <w:color w:val="2C3E50"/>
          <w:sz w:val="21"/>
        </w:rPr>
        <w:t>يعيد محرك القواعد في المسار POST /ruleengine/v1/transaction/card_txn الاستجابة المعيارية التالية:</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"fact": "card_txn",</w:t>
              <w:br/>
              <w:t xml:space="preserve">  "executedRuleCount": 4,</w:t>
              <w:br/>
              <w:t xml:space="preserve">  "totalScore": 850,</w:t>
              <w:br/>
              <w:t xml:space="preserve">  "highestSeverity": "CRITICAL",</w:t>
              <w:br/>
              <w:t xml:space="preserve">  "matchedRuleCount": 1,</w:t>
              <w:br/>
              <w:t xml:space="preserve">  "signals": [</w:t>
              <w:br/>
              <w:t xml:space="preserve">    {</w:t>
              <w:br/>
              <w:t xml:space="preserve">      "ruleCode": "POS_HIGH_VALUE_TXN",</w:t>
              <w:br/>
              <w:t xml:space="preserve">      "signalCode": "POS_HIGH_VALUE_TXN",</w:t>
              <w:br/>
              <w:t xml:space="preserve">      "signalSeverity": "CRITICAL",</w:t>
              <w:br/>
              <w:t xml:space="preserve">      "severityRank": 1,</w:t>
              <w:br/>
              <w:t xml:space="preserve">      "signalWeight": 850</w:t>
              <w:br/>
              <w:t xml:space="preserve">    }</w:t>
              <w:br/>
              <w:t xml:space="preserve">  ],</w:t>
              <w:br/>
              <w:t xml:space="preserve">  "decision": "BLOCK",</w:t>
              <w:br/>
              <w:t xml:space="preserve">  "policyCode": "POLICY_HIGH_VALUE_THRESHOLD",</w:t>
              <w:br/>
              <w:t xml:space="preserve">  "alertGenerated": true,</w:t>
              <w:br/>
              <w:t xml:space="preserve">  "executionId": 987654321,</w:t>
              <w:br/>
              <w:t xml:space="preserve">  "test": false</w:t>
              <w:br/>
              <w:t>}</w:t>
            </w:r>
          </w:p>
        </w:tc>
      </w:tr>
    </w:tbl>
    <w:p>
      <w:pPr>
        <w:spacing w:after="100"/>
      </w:pPr>
    </w:p>
    <w:p>
      <w:pPr>
        <w:spacing w:before="360" w:after="160"/>
        <w:jc w:val="right"/>
        <w:bidi/>
      </w:pPr>
      <w:r>
        <w:rPr>
          <w:rFonts w:ascii="Calibri" w:hAnsi="Calibri"/>
          <w:b/>
          <w:color w:val="0A2540"/>
          <w:sz w:val="34"/>
        </w:rPr>
        <w:t>7. منظومة استقبال إشعارات الـ Webhooks وإدارة القضايا الرقابية</w:t>
      </w:r>
    </w:p>
    <w:p>
      <w:pPr>
        <w:spacing w:line="288" w:lineRule="auto" w:after="100"/>
        <w:jc w:val="right"/>
        <w:bidi/>
      </w:pPr>
      <w:r>
        <w:rPr>
          <w:rFonts w:ascii="Calibri" w:hAnsi="Calibri"/>
          <w:b w:val="0"/>
          <w:color w:val="2C3E50"/>
          <w:sz w:val="21"/>
        </w:rPr>
        <w:t>تستقبل منصة تحصيل إشعارات الـ Webhook من محرك EFRM عبر الرابط الآمن https://tahseeltest.ultimate-pay.net/api/aml/webhook/، وتدير نوعين رئيسيين من الأحداث:</w:t>
      </w:r>
    </w:p>
    <w:p>
      <w:pPr>
        <w:spacing w:before="280" w:after="120"/>
        <w:jc w:val="right"/>
        <w:bidi/>
      </w:pPr>
      <w:r>
        <w:rPr>
          <w:rFonts w:ascii="Calibri" w:hAnsi="Calibri"/>
          <w:b/>
          <w:color w:val="0E76A8"/>
          <w:sz w:val="27"/>
        </w:rPr>
        <w:t>أ) حدث اتخاذ القرار غير المتزامن (TRANSACTION_DECISION):</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"event_type": "TRANSACTION_DECISION",</w:t>
              <w:br/>
              <w:t xml:space="preserve">  "event_id": "EVT-20261015-000001",</w:t>
              <w:br/>
              <w:t xml:space="preserve">  "event_time": "2026-10-15T14:30:10Z",</w:t>
              <w:br/>
              <w:t xml:space="preserve">  "institution_id": "ULTIMATE_PAY",</w:t>
              <w:br/>
              <w:t xml:space="preserve">  "source_system": "PG_SWITCH",</w:t>
              <w:br/>
              <w:t xml:space="preserve">  "fact": "card_txn",</w:t>
              <w:br/>
              <w:t xml:space="preserve">  "mode": "ASYNC",</w:t>
              <w:br/>
              <w:t xml:space="preserve">  "channel": "POS",</w:t>
              <w:br/>
              <w:t xml:space="preserve">  "request_id": "REQ-ASYNC-000001",</w:t>
              <w:br/>
              <w:t xml:space="preserve">  "source_txn_id": "TXN-20261015-998811",</w:t>
              <w:br/>
              <w:t xml:space="preserve">  "decision": "BLOCK",</w:t>
              <w:br/>
              <w:t xml:space="preserve">  "risk_score": 880,</w:t>
              <w:br/>
              <w:t xml:space="preserve">  "risk_severity": "CRITICAL",</w:t>
              <w:br/>
              <w:t xml:space="preserve">  "policy_code": "POLICY_VELOCITY_THRESHOLD",</w:t>
              <w:br/>
              <w:t xml:space="preserve">  "matched_rule_count": 2,</w:t>
              <w:br/>
              <w:t xml:space="preserve">  "alert_generated": true,</w:t>
              <w:br/>
              <w:t xml:space="preserve">  "case_created": true,</w:t>
              <w:br/>
              <w:t xml:space="preserve">  "case_id": "CASE-20261015-000001",</w:t>
              <w:br/>
              <w:t xml:space="preserve">  "signals": [</w:t>
              <w:br/>
              <w:t xml:space="preserve">    {</w:t>
              <w:br/>
              <w:t xml:space="preserve">      "rule_code": "POS_HIGH_FREQUENCY_TXN",</w:t>
              <w:br/>
              <w:t xml:space="preserve">      "signal_code": "VELOCITY_SPIKE",</w:t>
              <w:br/>
              <w:t xml:space="preserve">      "severity": "CRITICAL",</w:t>
              <w:br/>
              <w:t xml:space="preserve">      "score": 880,</w:t>
              <w:br/>
              <w:t xml:space="preserve">      "description": "High frequency card usage detected within 5 minutes"</w:t>
              <w:br/>
              <w:t xml:space="preserve">    }</w:t>
              <w:br/>
              <w:t xml:space="preserve">  ],</w:t>
              <w:br/>
              <w:t xml:space="preserve">  "recommended_action": "BLOCK_TRANSACTION",</w:t>
              <w:br/>
              <w:t xml:space="preserve">  "message": "Transaction blocked due to velocity breach"</w:t>
              <w:br/>
              <w:t>}</w:t>
            </w:r>
          </w:p>
        </w:tc>
      </w:tr>
    </w:tbl>
    <w:p>
      <w:pPr>
        <w:spacing w:after="100"/>
      </w:pPr>
    </w:p>
    <w:p>
      <w:pPr>
        <w:spacing w:before="280" w:after="120"/>
        <w:jc w:val="right"/>
        <w:bidi/>
      </w:pPr>
      <w:r>
        <w:rPr>
          <w:rFonts w:ascii="Calibri" w:hAnsi="Calibri"/>
          <w:b/>
          <w:color w:val="0E76A8"/>
          <w:sz w:val="27"/>
        </w:rPr>
        <w:t>ب) استجابة التأكيد القياسية الفورية من تحصيل (Acknowledgment):</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"event_id": "EVT-20261015-000001",</w:t>
              <w:br/>
              <w:t xml:space="preserve">  "source_txn_id": "TXN-20261015-998811",</w:t>
              <w:br/>
              <w:t xml:space="preserve">  "status": "RECEIVED",</w:t>
              <w:br/>
              <w:t xml:space="preserve">  "received_at": "2026-10-15T14:30:12Z",</w:t>
              <w:br/>
              <w:t xml:space="preserve">  "message": "Decision received and recorded successfully"</w:t>
              <w:br/>
              <w:t>}</w:t>
            </w:r>
          </w:p>
        </w:tc>
      </w:tr>
    </w:tbl>
    <w:p>
      <w:pPr>
        <w:spacing w:after="100"/>
      </w:pPr>
    </w:p>
    <w:p>
      <w:pPr>
        <w:spacing w:before="280" w:after="120"/>
        <w:jc w:val="right"/>
        <w:bidi/>
      </w:pPr>
      <w:r>
        <w:rPr>
          <w:rFonts w:ascii="Calibri" w:hAnsi="Calibri"/>
          <w:b/>
          <w:color w:val="0E76A8"/>
          <w:sz w:val="27"/>
        </w:rPr>
        <w:t>ج) حدث تحديث وإغلاق القضية الرقابية (CASE_ACTION_UPDATE):</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w:t>
              <w:br/>
              <w:t xml:space="preserve">  "event_type": "CASE_ACTION_UPDATE",</w:t>
              <w:br/>
              <w:t xml:space="preserve">  "event_id": "EVT-20261015-000002",</w:t>
              <w:br/>
              <w:t xml:space="preserve">  "event_time": "2026-10-15T15:10:00Z",</w:t>
              <w:br/>
              <w:t xml:space="preserve">  "institution_id": "ULTIMATE_PAY",</w:t>
              <w:br/>
              <w:t xml:space="preserve">  "source_system": "PG_SWITCH",</w:t>
              <w:br/>
              <w:t xml:space="preserve">  "source_txn_id": "TXN-20261015-998811",</w:t>
              <w:br/>
              <w:t xml:space="preserve">  "case_id": "CASE-20261015-000001",</w:t>
              <w:br/>
              <w:t xml:space="preserve">  "case_status": "CLOSED",</w:t>
              <w:br/>
              <w:t xml:space="preserve">  "final_action": "CONFIRMED_FRAUD",</w:t>
              <w:br/>
              <w:t xml:space="preserve">  "decision": "BLOCK",</w:t>
              <w:br/>
              <w:t xml:space="preserve">  "remarks": "Compliance officer verified fraudulent card presentation",</w:t>
              <w:br/>
              <w:t xml:space="preserve">  "message": "Case closed and final action logged in audit trail"</w:t>
              <w:br/>
              <w:t>}</w:t>
            </w:r>
          </w:p>
        </w:tc>
      </w:tr>
    </w:tbl>
    <w:p>
      <w:pPr>
        <w:spacing w:after="100"/>
      </w:pPr>
    </w:p>
    <w:p>
      <w:pPr>
        <w:spacing w:before="360" w:after="160"/>
        <w:jc w:val="right"/>
        <w:bidi/>
      </w:pPr>
      <w:r>
        <w:rPr>
          <w:rFonts w:ascii="Calibri" w:hAnsi="Calibri"/>
          <w:b/>
          <w:color w:val="0A2540"/>
          <w:sz w:val="34"/>
        </w:rPr>
        <w:t>8. قواعد التحقق الرقابي وتسجيل المفوترين (KYB Rules Engine)</w:t>
      </w:r>
    </w:p>
    <w:p>
      <w:pPr>
        <w:spacing w:line="288" w:lineRule="auto" w:after="100"/>
        <w:jc w:val="right"/>
        <w:bidi/>
      </w:pPr>
      <w:r>
        <w:rPr>
          <w:rFonts w:ascii="Calibri" w:hAnsi="Calibri"/>
          <w:b w:val="0"/>
          <w:color w:val="2C3E50"/>
          <w:sz w:val="21"/>
        </w:rPr>
        <w:t>يوفر موديول tahseel_aml محركات تدقيق متخصصة تضمن الالتزام التام بتشريعات البنك المركزي اليمني لكل كيان قانوني:</w:t>
      </w:r>
    </w:p>
    <w:tbl>
      <w:tblPr>
        <w:tblW w:type="auto" w:w="0"/>
        <w:jc w:val="center"/>
        <w:tblLayout w:type="fixed"/>
        <w:tblLook w:firstColumn="1" w:firstRow="1" w:lastColumn="0" w:lastRow="0" w:noHBand="0" w:noVBand="1" w:val="04A0"/>
        <w:bidiVisual/>
      </w:tblPr>
      <w:tblGrid>
        <w:gridCol w:w="3312"/>
        <w:gridCol w:w="3312"/>
        <w:gridCol w:w="3312"/>
      </w:tblGrid>
      <w:tr>
        <w:tc>
          <w:tcPr>
            <w:tcW w:type="dxa" w:w="2592"/>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نوع الكيان القانوني</w:t>
            </w:r>
          </w:p>
        </w:tc>
        <w:tc>
          <w:tcPr>
            <w:tcW w:type="dxa" w:w="3600"/>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الشروط الرقابية الإلزامية</w:t>
            </w:r>
          </w:p>
        </w:tc>
        <w:tc>
          <w:tcPr>
            <w:tcW w:type="dxa" w:w="3168"/>
            <w:shd w:fill="0A2540"/>
            <w:tcMar>
              <w:top w:w="120" w:type="dxa"/>
              <w:bottom w:w="120" w:type="dxa"/>
              <w:left w:w="140" w:type="dxa"/>
              <w:right w:w="140" w:type="dxa"/>
            </w:tcMar>
            <w:tcBorders>
              <w:top w:val="single" w:sz="4" w:space="0" w:color="0A2540"/>
              <w:bottom w:val="single" w:sz="4" w:space="0" w:color="0A2540"/>
              <w:left w:val="single" w:sz="4" w:space="0" w:color="1E3A8A"/>
              <w:right w:val="single" w:sz="4" w:space="0" w:color="1E3A8A"/>
            </w:tcBorders>
          </w:tcPr>
          <w:p>
            <w:pPr>
              <w:jc w:val="right"/>
              <w:bidi/>
            </w:pPr>
            <w:r>
              <w:rPr>
                <w:rFonts w:ascii="Calibri" w:hAnsi="Calibri"/>
                <w:b/>
                <w:color w:val="FFFFFF"/>
                <w:sz w:val="20"/>
              </w:rPr>
              <w:t>سلوك محرك التحقق البرمجي (Validator)</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تاجر فردي (MERCHANT)</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مالك فردي واحد بنسبة 100% بالضبط، سجل تجاري ساري، وهوية شخصية سارية.</w:t>
            </w:r>
          </w:p>
        </w:tc>
        <w:tc>
          <w:tcPr>
            <w:tcW w:type="dxa" w:w="316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MerchantBillerValidator يرفض إضافة أي شركاء إضافيين ويتحقق من نسبة 100% للمالك.</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شركة خاصة (PRIVATE_COMPANY)</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مجموع حصص الشركاء = 100.00%، شريكان على الأقل، مفوض بالتوقيع، و UBO واحد على الأقل.</w:t>
            </w:r>
          </w:p>
        </w:tc>
        <w:tc>
          <w:tcPr>
            <w:tcW w:type="dxa" w:w="316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PrivateCompanyBillerValidator يتحقق برمجياً بدقة عبر aggregate(Sum()).</w:t>
            </w:r>
          </w:p>
        </w:tc>
      </w:tr>
      <w:tr>
        <w:tc>
          <w:tcPr>
            <w:tcW w:type="dxa" w:w="2592"/>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شركة مختلطة (MIXED)</w:t>
            </w:r>
          </w:p>
        </w:tc>
        <w:tc>
          <w:tcPr>
            <w:tcW w:type="dxa" w:w="3600"/>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مجموع الحصص = 100.00%، وجود مفوض بالتوقيع رسمي معتمد.</w:t>
            </w:r>
          </w:p>
        </w:tc>
        <w:tc>
          <w:tcPr>
            <w:tcW w:type="dxa" w:w="3168"/>
            <w:shd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MixedCompanyBillerValidator يضمن اكتمال رأس المال والتفويض المعتمد.</w:t>
            </w:r>
          </w:p>
        </w:tc>
      </w:tr>
      <w:tr>
        <w:tc>
          <w:tcPr>
            <w:tcW w:type="dxa" w:w="2592"/>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جهة حكومية (GOVERNMENT)</w:t>
            </w:r>
          </w:p>
        </w:tc>
        <w:tc>
          <w:tcPr>
            <w:tcW w:type="dxa" w:w="3600"/>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مفوض بالتوقيع رسمي، ويُحظر تسجيل ملاك أو شركاء أو نسب أرباح.</w:t>
            </w:r>
          </w:p>
        </w:tc>
        <w:tc>
          <w:tcPr>
            <w:tcW w:type="dxa" w:w="3168"/>
            <w:shd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right"/>
              <w:bidi/>
            </w:pPr>
            <w:r>
              <w:rPr>
                <w:rFonts w:ascii="Calibri" w:hAnsi="Calibri"/>
                <w:color w:val="2C3E50"/>
                <w:sz w:val="18"/>
              </w:rPr>
              <w:t>GovernmentBillerValidator يمنع تسجيل حصص ملكية ويشترط تفويض توقيع رسمي.</w:t>
            </w:r>
          </w:p>
        </w:tc>
      </w:tr>
    </w:tbl>
    <w:p>
      <w:pPr>
        <w:spacing w:after="120"/>
      </w:pPr>
    </w:p>
    <w:p>
      <w:pPr>
        <w:spacing w:before="360" w:after="160"/>
        <w:jc w:val="right"/>
        <w:bidi/>
      </w:pPr>
      <w:r>
        <w:rPr>
          <w:rFonts w:ascii="Calibri" w:hAnsi="Calibri"/>
          <w:b/>
          <w:color w:val="0A2540"/>
          <w:sz w:val="34"/>
        </w:rPr>
        <w:t>9. دليل المطورين والتشغيل والربط المباشر (Implementation Guide)</w:t>
      </w:r>
    </w:p>
    <w:p>
      <w:pPr>
        <w:spacing w:line="288" w:lineRule="auto" w:after="100"/>
        <w:jc w:val="right"/>
        <w:bidi/>
      </w:pPr>
      <w:r>
        <w:rPr>
          <w:rFonts w:ascii="Calibri" w:hAnsi="Calibri"/>
          <w:b w:val="0"/>
          <w:color w:val="2C3E50"/>
          <w:sz w:val="21"/>
        </w:rPr>
        <w:t>خطوات دمج الموديول في خوادم منصة تحصيل:</w:t>
      </w:r>
    </w:p>
    <w:p>
      <w:pPr>
        <w:spacing w:before="280" w:after="120"/>
        <w:jc w:val="right"/>
        <w:bidi/>
      </w:pPr>
      <w:r>
        <w:rPr>
          <w:rFonts w:ascii="Calibri" w:hAnsi="Calibri"/>
          <w:b/>
          <w:color w:val="0E76A8"/>
          <w:sz w:val="27"/>
        </w:rPr>
        <w:t>1. ضبط المتغيرات البيئية داخل settings.py أو ملف .env:</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 إعدادات منظومة مكافحة غسل الأموال (Tahseel AML &amp; EFRM Configuration)</w:t>
              <w:br/>
              <w:t>AML_BASE_URL = "http://10.225.119.170:8000/screening/v1"</w:t>
              <w:br/>
              <w:t>AML_API_KEY = "YOUR_PROVISIONED_API_KEY"</w:t>
              <w:br/>
              <w:t>AML_INSTITUTION_ID = "ULTIMATE_PAY"</w:t>
              <w:br/>
              <w:t>AML_SOURCE_SYSTEM_ONBOARDING = "TAHSEEL"</w:t>
              <w:br/>
              <w:t>AML_SOURCE_SYSTEM_TXN = "PG_SWITCH"</w:t>
              <w:br/>
              <w:t>AML_WEBHOOK_URL = "https://tahseeltest.ultimate-pay.net/api/aml/webhook/"</w:t>
              <w:br/>
              <w:t>AML_IS_SANDBOX = False</w:t>
            </w:r>
          </w:p>
        </w:tc>
      </w:tr>
    </w:tbl>
    <w:p>
      <w:pPr>
        <w:spacing w:after="100"/>
      </w:pPr>
    </w:p>
    <w:p>
      <w:pPr>
        <w:spacing w:before="280" w:after="120"/>
        <w:jc w:val="right"/>
        <w:bidi/>
      </w:pPr>
      <w:r>
        <w:rPr>
          <w:rFonts w:ascii="Calibri" w:hAnsi="Calibri"/>
          <w:b/>
          <w:color w:val="0E76A8"/>
          <w:sz w:val="27"/>
        </w:rPr>
        <w:t>2. استدعاء خدمات الفحص في مسار تسجيل المفوترين (Biller Onboarding View):</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from tahseel_aml.services import BillerComplianceService, KanjiEFRMClient, AuditService</w:t>
              <w:br/>
              <w:br/>
              <w:t># 1. تهيئة العميل والخدمة بالربط الحي</w:t>
              <w:br/>
              <w:t>client = KanjiEFRMClient(is_sandbox=False)</w:t>
              <w:br/>
              <w:t>service = BillerComplianceService(screening_client=client)</w:t>
              <w:br/>
              <w:br/>
              <w:t># 2. التحقق من الهيكل القانوني للمنشأة وفق تشريعات البنك المركزي</w:t>
              <w:br/>
              <w:t>service.validate_biller_structure(biller)</w:t>
              <w:br/>
              <w:br/>
              <w:t># 3. فحص الكيان التجاري الأساسي وفحص الشركاء والمفوضين والمستفيدين</w:t>
              <w:br/>
              <w:t>service.screen_biller_entity(biller, performed_by=request.user)</w:t>
              <w:br/>
              <w:t>service.screen_all_parties(biller, performed_by=request.user)</w:t>
              <w:br/>
              <w:br/>
              <w:t># 4. تقييم درجة المخاطر الشاملة (Risk Rating)</w:t>
              <w:br/>
              <w:t>service.evaluate_and_update_risk(biller)</w:t>
              <w:br/>
              <w:br/>
              <w:t># 5. التوثيق الإلزامي في سجل التدقيق الرقابي غير القابل للحذف</w:t>
              <w:br/>
              <w:t>AuditService().log_action(</w:t>
              <w:br/>
              <w:t xml:space="preserve">    biller=biller,</w:t>
              <w:br/>
              <w:t xml:space="preserve">    action="ONBOARDING_SCREENING_COMPLETED",</w:t>
              <w:br/>
              <w:t xml:space="preserve">    user=request.user,</w:t>
              <w:br/>
              <w:t xml:space="preserve">    ip_address=request.META.get('REMOTE_ADDR')</w:t>
              <w:br/>
              <w:t>)</w:t>
            </w:r>
          </w:p>
        </w:tc>
      </w:tr>
    </w:tbl>
    <w:p>
      <w:pPr>
        <w:spacing w:after="100"/>
      </w:pPr>
    </w:p>
    <w:p>
      <w:pPr>
        <w:spacing w:before="280" w:after="120"/>
        <w:jc w:val="right"/>
        <w:bidi/>
      </w:pPr>
      <w:r>
        <w:rPr>
          <w:rFonts w:ascii="Calibri" w:hAnsi="Calibri"/>
          <w:b/>
          <w:color w:val="0E76A8"/>
          <w:sz w:val="27"/>
        </w:rPr>
        <w:t>3. أوامر تهيئة وتحديث قاعدة البيانات (Database Migrations):</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python manage.py makemigrations tahseel_aml</w:t>
              <w:br/>
              <w:t>python manage.py migrate tahseel_aml</w:t>
            </w:r>
          </w:p>
        </w:tc>
      </w:tr>
    </w:tbl>
    <w:p>
      <w:pPr>
        <w:spacing w:after="100"/>
      </w:pPr>
    </w:p>
    <w:p>
      <w:pPr>
        <w:spacing w:before="360" w:after="160"/>
        <w:jc w:val="right"/>
        <w:bidi/>
      </w:pPr>
      <w:r>
        <w:rPr>
          <w:rFonts w:ascii="Calibri" w:hAnsi="Calibri"/>
          <w:b/>
          <w:color w:val="0A2540"/>
          <w:sz w:val="34"/>
        </w:rPr>
        <w:t>10. الملحق الرسمي: المراسلات والاتفاق الفني المعتمد مع شركة FinFactory</w:t>
      </w:r>
    </w:p>
    <w:p>
      <w:pPr>
        <w:spacing w:line="288" w:lineRule="auto" w:after="100"/>
        <w:jc w:val="right"/>
        <w:bidi/>
      </w:pPr>
      <w:r>
        <w:rPr>
          <w:rFonts w:ascii="Calibri" w:hAnsi="Calibri"/>
          <w:b w:val="0"/>
          <w:color w:val="2C3E50"/>
          <w:sz w:val="21"/>
        </w:rPr>
        <w:t>فيما يلي التوثيق الكامل لنص الإيميل الفني الرسمي المعتمد والموجه إلى المهندسة Gomathi Ganesan (FinFactory)، والذي يمثل وثيقة الاتفاق المعماري والتنسيق النهائي بين الفريقين:</w:t>
      </w:r>
    </w:p>
    <w:tbl>
      <w:tblPr>
        <w:tblW w:type="auto" w:w="0"/>
        <w:jc w:val="center"/>
        <w:tblLayout w:type="fixed"/>
        <w:tblLook w:firstColumn="1" w:firstRow="1" w:lastColumn="0" w:lastRow="0" w:noHBand="0" w:noVBand="1" w:val="04A0"/>
        <w:bidiVisual/>
      </w:tblPr>
      <w:tblGrid>
        <w:gridCol w:w="9936"/>
      </w:tblGrid>
      <w:tr>
        <w:tc>
          <w:tcPr>
            <w:tcW w:type="dxa" w:w="9360"/>
            <w:shd w:fill="F0F9FF"/>
            <w:tcMar>
              <w:top w:w="130" w:type="dxa"/>
              <w:bottom w:w="130" w:type="dxa"/>
              <w:left w:w="180" w:type="dxa"/>
              <w:right w:w="180" w:type="dxa"/>
            </w:tcMar>
            <w:tcBorders>
              <w:top w:val="none"/>
              <w:bottom w:val="none"/>
              <w:left w:val="none"/>
              <w:right w:val="single" w:sz="24" w:space="0" w:color="0284C7"/>
            </w:tcBorders>
          </w:tcPr>
          <w:p>
            <w:pPr>
              <w:spacing w:after="60"/>
              <w:jc w:val="right"/>
              <w:bidi/>
            </w:pPr>
            <w:r>
              <w:rPr>
                <w:rFonts w:ascii="Calibri" w:hAnsi="Calibri"/>
                <w:b/>
                <w:color w:val="0E76A8"/>
                <w:sz w:val="22"/>
              </w:rPr>
              <w:t>📌 بيانات المراسلة الرسمية المعتمدة</w:t>
              <w:br/>
            </w:r>
            <w:r>
              <w:rPr>
                <w:rFonts w:ascii="Calibri" w:hAnsi="Calibri"/>
                <w:color w:val="2C3E50"/>
                <w:sz w:val="20"/>
              </w:rPr>
              <w:t>المستلم: Gomathi Ganesan &lt;ganesan@finfactory.in&gt;</w:t>
              <w:br/>
              <w:t>الموضوع: Re: AML Screening &amp; Transaction Monitoring Integration – Architecture Alignment &amp; Configuration Parameters (Ultimate Pay / Tahseel)</w:t>
              <w:br/>
              <w:t>التاريخ: أكتوبر 2026</w:t>
              <w:br/>
              <w:t>المؤسسة: شركة الترا سوفت للحلول المالية (Ultimate Pay Solutions) - منصة تحصيل</w:t>
            </w:r>
          </w:p>
        </w:tc>
      </w:tr>
    </w:tbl>
    <w:p>
      <w:pPr>
        <w:spacing w:after="80"/>
      </w:pPr>
    </w:p>
    <w:p>
      <w:pPr>
        <w:spacing w:before="280" w:after="120"/>
        <w:jc w:val="right"/>
        <w:bidi/>
      </w:pPr>
      <w:r>
        <w:rPr>
          <w:rFonts w:ascii="Calibri" w:hAnsi="Calibri"/>
          <w:b/>
          <w:color w:val="0E76A8"/>
          <w:sz w:val="27"/>
        </w:rPr>
        <w:t>أولاً: نص الرسالة باللغة الإنجليزية (Official English Dispatch):</w:t>
      </w:r>
    </w:p>
    <w:tbl>
      <w:tblPr>
        <w:tblW w:type="auto" w:w="0"/>
        <w:jc w:val="center"/>
        <w:tblLook w:firstColumn="1" w:firstRow="1" w:lastColumn="0" w:lastRow="0" w:noHBand="0" w:noVBand="1" w:val="04A0"/>
        <w:bidiVisual/>
      </w:tblPr>
      <w:tblGrid>
        <w:gridCol w:w="9936"/>
      </w:tblGrid>
      <w:tr>
        <w:tc>
          <w:tcPr>
            <w:tcW w:type="dxa" w:w="9360"/>
            <w:shd w:fill="F1F5F9"/>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line="252" w:lineRule="auto" w:after="0"/>
              <w:jc w:val="left"/>
            </w:pPr>
            <w:r>
              <w:rPr>
                <w:rFonts w:ascii="Consolas" w:hAnsi="Consolas"/>
                <w:color w:val="1E293B"/>
                <w:sz w:val="17"/>
              </w:rPr>
              <w:t>Hi Gomathi,</w:t>
              <w:br/>
              <w:br/>
              <w:t>I hope you are doing well.</w:t>
              <w:br/>
              <w:br/>
              <w:t>Thank you for your detailed email and for sharing the specification documents and transaction parameter sheet.</w:t>
              <w:br/>
              <w:br/>
              <w:t>We have carefully reviewed the documentation with our engineering team and are pleased to confirm that our proposed integration architecture is aligned with the workflow you outlined.</w:t>
              <w:br/>
              <w:br/>
              <w:t>Please find below an overview of our setup and the configuration details required to provision our integration environment.</w:t>
              <w:br/>
              <w:br/>
              <w:t>1. Screening Setup – Biller and Merchant Onboarding</w:t>
              <w:br/>
              <w:t>Our institution code will be ULTIMATE_PAY, and our upstream onboarding system will be TAHSEEL.</w:t>
              <w:br/>
              <w:t>During the merchant onboarding process, our platform handles both commercial entities, such as corporations and LLCs, and individual merchants, including sole proprietors.</w:t>
              <w:br/>
              <w:t>For each onboarding request, we will first submit the primary entity for screening under the CUSTOMER relationship. Once the primary entity has been screened, we will initiate screening for all associated related parties (partners, directors, shareholders, and authorized signatories) under their respective roles, linking each back to the primary entity via primary_entity_id.</w:t>
              <w:br/>
              <w:t>All data payloads will adhere to the specification provided in the screening documentation.</w:t>
              <w:br/>
              <w:br/>
              <w:t>2. Adverse Media Check (AMC) &amp; Screening Decisions</w:t>
              <w:br/>
              <w:t>We request that Adverse Media Check (AMC) be enabled in our profile alongside standard watchlist and sanctions screening.</w:t>
              <w:br/>
              <w:t>Our application is built to handle the full decision lifecycle:</w:t>
              <w:br/>
              <w:t>- ALLOW: Onboarding proceeds automatically.</w:t>
              <w:br/>
              <w:t>- BLOCK: Onboarding is halted immediately, and the applicant is flagged.</w:t>
              <w:br/>
              <w:t>- REVIEW: The profile is held pending review by our compliance team.</w:t>
              <w:br/>
              <w:br/>
              <w:t>3. Transaction Monitoring (EFRM)</w:t>
              <w:br/>
              <w:t>For transaction monitoring, our institution code remains ULTIMATE_PAY, and the reporting system is designated as PG_SWITCH.</w:t>
              <w:br/>
              <w:t>We will transmit transactions matching the card_txn fact, including purchases and refunds across POS, E-commerce, and ATM channels.</w:t>
              <w:br/>
              <w:t>Our platform supports both processing modes:</w:t>
              <w:br/>
              <w:t>- Synchronous (SYNC): For real-time authorization checks on card/POS transactions, expecting immediate ALLOW, BLOCK, REVIEW, or STEPUP decisions.</w:t>
              <w:br/>
              <w:t>- Asynchronous (ASYNC): For post-authorization processing and near real-time transaction monitoring.</w:t>
              <w:br/>
              <w:t>The payload values will strictly map to the ISO 8583 standards as outlined in the card transaction parameter document.</w:t>
              <w:br/>
              <w:br/>
              <w:t>4. Webhook and Callback Configuration</w:t>
              <w:br/>
              <w:t>We have established a unified webhook endpoint to process incoming decision updates and case management events:</w:t>
              <w:br/>
              <w:t>- Webhook URL: https://tahseeltest.ultimate-pay.net/api/aml/webhook/</w:t>
              <w:br/>
              <w:t>This endpoint handles:</w:t>
              <w:br/>
              <w:t>- Asynchronous transaction screening decisions.</w:t>
              <w:br/>
              <w:t>- Investigation case closure and status updates (CASE_ACTION_UPDATE), ensuring that our internal records reflect the latest determinations made by your analysts.</w:t>
              <w:br/>
              <w:t>Upon receiving any callback event, our service immediately returns the required acknowledgment payload.</w:t>
              <w:br/>
              <w:br/>
              <w:t>Next Steps &amp; Provisioning Request:</w:t>
              <w:br/>
              <w:t>Could you please proceed with configuring the ULTIMATE_PAY institution profile on the sandbox server (10.225.119.170) and supply us with:</w:t>
              <w:br/>
              <w:t>- The x-api-key credential for the screening API.</w:t>
              <w:br/>
              <w:t>- The base URLs and authentication details for the transaction monitoring (EFRM) ingestion endpoints.</w:t>
              <w:br/>
              <w:t>- Confirmation that our callback URL has been registered for webhook dispatch.</w:t>
              <w:br/>
              <w:br/>
              <w:t>Thank you once again for your cooperation, and we look forward to receiving the credentials to initiate end-to-end testing.</w:t>
              <w:br/>
              <w:br/>
              <w:t>Best regards,</w:t>
              <w:br/>
              <w:t>Engineering &amp; Compliance Team</w:t>
              <w:br/>
              <w:t>Ultimate Pay Solutions (Tahseel Platform)</w:t>
            </w:r>
          </w:p>
        </w:tc>
      </w:tr>
    </w:tbl>
    <w:p>
      <w:pPr>
        <w:spacing w:after="100"/>
      </w:pPr>
    </w:p>
    <w:p>
      <w:pPr>
        <w:spacing w:before="280" w:after="120"/>
        <w:jc w:val="right"/>
        <w:bidi/>
      </w:pPr>
      <w:r>
        <w:rPr>
          <w:rFonts w:ascii="Calibri" w:hAnsi="Calibri"/>
          <w:b/>
          <w:color w:val="0E76A8"/>
          <w:sz w:val="27"/>
        </w:rPr>
        <w:t>ثانياً: الترجمة المعتمدة للرسالة باللغة العربية:</w:t>
      </w:r>
    </w:p>
    <w:p>
      <w:pPr>
        <w:spacing w:line="288" w:lineRule="auto" w:after="100"/>
        <w:jc w:val="right"/>
        <w:bidi/>
      </w:pPr>
      <w:r>
        <w:rPr>
          <w:rFonts w:ascii="Calibri" w:hAnsi="Calibri"/>
          <w:b w:val="0"/>
          <w:color w:val="2C3E50"/>
          <w:sz w:val="21"/>
        </w:rPr>
        <w:t>مرحباً غوماثي،</w:t>
        <w:br/>
        <w:t>نأمل أن تكوني بخير وعافية.</w:t>
        <w:br/>
        <w:t>نشكركِ على إيميلكِ المفصل ومشاركتنا وثائق المواصفات وجدول محددات المعاملات.</w:t>
        <w:br/>
        <w:t>لقد قمنا بمراجعة الوثائق بعناية فائقة مع فريقنا الهندسي، ويسعدنا أن نؤكد أن معمارية الربط المقترحة من قبلنا متوافقة تماماً مع مسار العمل الموضح من طرفكم.</w:t>
        <w:br/>
        <w:t>تجدون أدناه نظرة عامة على بنيتنا وتفاصيل الإعدادات المطلوبة لتهيئة بيئة الربط الخاصة بنا:</w:t>
      </w:r>
    </w:p>
    <w:p>
      <w:pPr>
        <w:spacing w:line="276" w:lineRule="auto" w:after="80"/>
        <w:ind w:right="280"/>
        <w:jc w:val="right"/>
        <w:bidi/>
      </w:pPr>
      <w:r>
        <w:rPr>
          <w:rFonts w:ascii="Calibri" w:hAnsi="Calibri"/>
          <w:b/>
          <w:color w:val="0E76A8"/>
        </w:rPr>
        <w:t xml:space="preserve">• </w:t>
      </w:r>
      <w:r>
        <w:rPr>
          <w:rFonts w:ascii="Calibri" w:hAnsi="Calibri"/>
          <w:color w:val="2C3E50"/>
          <w:sz w:val="20"/>
        </w:rPr>
        <w:t>1. إعدادات الفحص (Screening) – تسجيل المفوترين والتجار: سيكون كود مؤسستنا هو ULTIMATE_PAY، ونظام التسجيل المصدر هو TAHSEEL. يتم فحص الكيان الأساسي أولاً (CUSTOMER)، يليه فحص جميع الشركاء والمفوضين والملاك وربطهم بالكيان الأساسي عبر primary_entity_id.</w:t>
      </w:r>
    </w:p>
    <w:p>
      <w:pPr>
        <w:spacing w:line="276" w:lineRule="auto" w:after="80"/>
        <w:ind w:right="280"/>
        <w:jc w:val="right"/>
        <w:bidi/>
      </w:pPr>
      <w:r>
        <w:rPr>
          <w:rFonts w:ascii="Calibri" w:hAnsi="Calibri"/>
          <w:b/>
          <w:color w:val="0E76A8"/>
        </w:rPr>
        <w:t xml:space="preserve">• </w:t>
      </w:r>
      <w:r>
        <w:rPr>
          <w:rFonts w:ascii="Calibri" w:hAnsi="Calibri"/>
          <w:color w:val="2C3E50"/>
          <w:sz w:val="20"/>
        </w:rPr>
        <w:t>2. فحص الوسائط السلبية (AMC) وقرارات الفحص: نطلب تفعيل فحص Adverse Media بجانب فحص القوائم السوداء، ونظامنا جاهز لمعالجة قرارات ALLOW و BLOCK و REVIEW بدقة.</w:t>
      </w:r>
    </w:p>
    <w:p>
      <w:pPr>
        <w:spacing w:line="276" w:lineRule="auto" w:after="80"/>
        <w:ind w:right="280"/>
        <w:jc w:val="right"/>
        <w:bidi/>
      </w:pPr>
      <w:r>
        <w:rPr>
          <w:rFonts w:ascii="Calibri" w:hAnsi="Calibri"/>
          <w:b/>
          <w:color w:val="0E76A8"/>
        </w:rPr>
        <w:t xml:space="preserve">• </w:t>
      </w:r>
      <w:r>
        <w:rPr>
          <w:rFonts w:ascii="Calibri" w:hAnsi="Calibri"/>
          <w:color w:val="2C3E50"/>
          <w:sz w:val="20"/>
        </w:rPr>
        <w:t>3. مراقبة المعاملات اللحظية (EFRM): رمز المؤسسة ULTIMATE_PAY والنظام المصدر هو PG_SWITCH. ندعم حركات card_txn وقنوات POS, ECOM, ATM بنمطي التقييم المتزامن SYNC وغير المتزامن ASYNC وفق معايير ISO 8583.</w:t>
      </w:r>
    </w:p>
    <w:p>
      <w:pPr>
        <w:spacing w:line="276" w:lineRule="auto" w:after="80"/>
        <w:ind w:right="280"/>
        <w:jc w:val="right"/>
        <w:bidi/>
      </w:pPr>
      <w:r>
        <w:rPr>
          <w:rFonts w:ascii="Calibri" w:hAnsi="Calibri"/>
          <w:b/>
          <w:color w:val="0E76A8"/>
        </w:rPr>
        <w:t xml:space="preserve">• </w:t>
      </w:r>
      <w:r>
        <w:rPr>
          <w:rFonts w:ascii="Calibri" w:hAnsi="Calibri"/>
          <w:color w:val="2C3E50"/>
          <w:sz w:val="20"/>
        </w:rPr>
        <w:t>4. تكوين الـ Webhook ورابط الاستقبال: تم تجهيز الرابط الموحد https://tahseeltest.ultimate-pay.net/api/aml/webhook/ لاستقبال قرارات الحركات غير المتزامنة وتحديثات إغلاق القضايا الرقابية وإرجاع الرد الفوري المعتمد.</w:t>
      </w:r>
    </w:p>
    <w:p>
      <w:pPr>
        <w:spacing w:line="276" w:lineRule="auto" w:after="80"/>
        <w:ind w:right="280"/>
        <w:jc w:val="right"/>
        <w:bidi/>
      </w:pPr>
      <w:r>
        <w:rPr>
          <w:rFonts w:ascii="Calibri" w:hAnsi="Calibri"/>
          <w:b/>
          <w:color w:val="0E76A8"/>
        </w:rPr>
        <w:t xml:space="preserve">• </w:t>
      </w:r>
      <w:r>
        <w:rPr>
          <w:rFonts w:ascii="Calibri" w:hAnsi="Calibri"/>
          <w:color w:val="2C3E50"/>
          <w:sz w:val="20"/>
        </w:rPr>
        <w:t>الخطوات التالية والمطلوب تزويدنا به: تفعيل بروفايل مؤسسة ULTIMATE_PAY على السيرفر 10.225.119.170، وتزويدنا بمفتاح x-api-key، وتأكيد تسجيل رابط الـ Webhook لبدء الاختبارات الشاملة فوراً.</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