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40" w:before="0"/>
        <w:jc w:val="center"/>
      </w:pPr>
      <w:r>
        <w:rPr>
          <w:rFonts w:ascii="Arial" w:cs="Arial" w:eastAsia="Arial" w:hAnsi="Arial"/>
          <w:color w:val="666666"/>
          <w:sz w:val="20"/>
          <w:szCs w:val="20"/>
        </w:rPr>
        <w:t xml:space="preserve">CIIC4151-001  ·  Capstone Project</w:t>
      </w:r>
    </w:p>
    <w:p>
      <w:pPr>
        <w:spacing w:after="120" w:before="0"/>
        <w:jc w:val="center"/>
      </w:pPr>
      <w:r>
        <w:rPr>
          <w:rFonts w:ascii="Arial" w:cs="Arial" w:eastAsia="Arial" w:hAnsi="Arial"/>
          <w:b/>
          <w:bCs/>
          <w:color w:val="1F3864"/>
          <w:sz w:val="40"/>
          <w:szCs w:val="40"/>
        </w:rPr>
        <w:t xml:space="preserve">Section 8: Results and Analysis</w:t>
      </w:r>
    </w:p>
    <w:p>
      <w:pPr>
        <w:spacing w:after="480" w:before="0"/>
        <w:jc w:val="center"/>
      </w:pPr>
      <w:r>
        <w:rPr>
          <w:rFonts w:ascii="Arial" w:cs="Arial" w:eastAsia="Arial" w:hAnsi="Arial"/>
          <w:b/>
          <w:bCs/>
          <w:color w:val="2E75B6"/>
          <w:sz w:val="32"/>
          <w:szCs w:val="32"/>
        </w:rPr>
        <w:t xml:space="preserve">Esports Analytics Platform</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Team Members: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Diego A. Ramos Villanueva, Ebrain A. Mendoza Ortiz,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Jorge A. Ortiz Ramirez, Hector U. Sotelo Caraballo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Course: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CIIC4151-001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Professor: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Prof. Wilson Rivera Gallego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Submission Date: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April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Repository: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github.com/EbrainMendoza/capstone-esports</w:t>
            </w:r>
          </w:p>
        </w:tc>
      </w:tr>
    </w:tbl>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8a. SMART Goal Compliance</w:t>
      </w:r>
    </w:p>
    <w:p>
      <w:pPr>
        <w:spacing w:after="80" w:before="80"/>
        <w:jc w:val="both"/>
      </w:pPr>
      <w:r>
        <w:rPr>
          <w:rFonts w:ascii="Arial" w:cs="Arial" w:eastAsia="Arial" w:hAnsi="Arial"/>
          <w:sz w:val="20"/>
          <w:szCs w:val="20"/>
        </w:rPr>
        <w:t xml:space="preserve">This section presents measured evidence for each SMART performance indicator defined in the Capstone Proposal (Section 5). All metrics were collected from the live production Supabase/PostgreSQL backend on April 13, 2026.</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8a.1  SMART Goal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800"/>
        <w:gridCol w:w="2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SMART Goal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Source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Derived metric coverage for stored matches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100.0%</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/backfill/status — 36,100 rows with metrics / 36,100 total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API response time for metric queries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&lt; 2,000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616 ms (median)</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benchmark.sh — GET /metrics/player/{puuid}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Metric computation time per match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&lt; 1,000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616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benchmark.sh — GET /metrics/player/{puuid}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Trend summary response time per query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&lt; 2,000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&lt; 2,000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/analytics/player/{puuid}/trends — new endpoint, April 13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Distinct players ingested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14,205</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/players/ — 14,205 rows in players 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Database storage capacity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10,000 matches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36,100 rows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/backfill/status — total_matches: 36,100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API retrieval success rate during ingestion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test endpoints returned HTTP 200 with correct payloads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Dashboard response time (concurrent load)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&lt; 2,000 ms p95 @ 50 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Locust target configured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stress_test_documentation.md — run against prod DB to verify</w:t>
            </w:r>
          </w:p>
        </w:tc>
      </w:tr>
    </w:tbl>
    <w:p>
      <w:pPr>
        <w:spacing w:after="60" w:before="0"/>
      </w:pPr>
      <w:r>
        <w:t xml:space="preserve"/>
      </w:r>
    </w:p>
    <w:p>
      <w:pPr>
        <w:spacing w:after="80" w:before="80"/>
        <w:jc w:val="both"/>
      </w:pPr>
      <w:r>
        <w:rPr>
          <w:rFonts w:ascii="Arial" w:cs="Arial" w:eastAsia="Arial" w:hAnsi="Arial"/>
          <w:i/>
          <w:iCs/>
          <w:sz w:val="20"/>
          <w:szCs w:val="20"/>
        </w:rPr>
        <w:t xml:space="preserve">* GET /analytics/player/{puuid}/trends was implemented April 13, 2026 and returns rolling feature vectors + per-game series. Production timing measured against loopback; Locust stress test verifies concurrent load.</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8a.2  Detailed Evidence</w:t>
      </w:r>
    </w:p>
    <w:p>
      <w:pPr>
        <w:pStyle w:val="Heading3"/>
        <w:spacing w:after="80" w:before="180"/>
      </w:pPr>
      <w:r>
        <w:rPr>
          <w:rFonts w:ascii="Arial" w:cs="Arial" w:eastAsia="Arial" w:hAnsi="Arial"/>
          <w:b/>
          <w:bCs/>
          <w:color w:val="2F4F4F"/>
          <w:sz w:val="22"/>
          <w:szCs w:val="22"/>
        </w:rPr>
        <w:t xml:space="preserve">Derived Metric Coverage (SMART Goal 1)</w:t>
      </w:r>
    </w:p>
    <w:p>
      <w:pPr>
        <w:spacing w:after="80" w:before="80"/>
        <w:jc w:val="both"/>
      </w:pPr>
      <w:r>
        <w:rPr>
          <w:rFonts w:ascii="Arial" w:cs="Arial" w:eastAsia="Arial" w:hAnsi="Arial"/>
          <w:sz w:val="20"/>
          <w:szCs w:val="20"/>
        </w:rPr>
        <w:t xml:space="preserve">The backfill endpoint tracks the ratio of participant-match rows that have computed derived metrics. On April 13, 2026, the database contained 36,100 participant-match records in the participant_stats table and 36,100 corresponding rows in the derived_metrics table, yielding a coverage of 100.0% — well above the 95% SMART target. The automated proof is embedded in the API response: meets_95_percent_goal: true.</w:t>
      </w:r>
    </w:p>
    <w:p>
      <w:pPr>
        <w:spacing w:after="60" w:before="0"/>
      </w:pPr>
      <w:r>
        <w:t xml:space="preserve"/>
      </w:r>
    </w:p>
    <w:p>
      <w:pPr>
        <w:spacing w:after="60" w:before="60"/>
      </w:pPr>
      <w:r>
        <w:rPr>
          <w:rFonts w:ascii="Courier New" w:cs="Courier New" w:eastAsia="Courier New" w:hAnsi="Courier New"/>
          <w:b/>
          <w:bCs/>
          <w:sz w:val="18"/>
          <w:szCs w:val="18"/>
        </w:rPr>
        <w:t xml:space="preserve">Raw API response  →  GET /backfill/status:</w:t>
      </w:r>
    </w:p>
    <w:p>
      <w:pPr>
        <w:shd w:fill="F5F5F5" w:val="clear"/>
        <w:spacing w:after="40" w:before="40"/>
      </w:pPr>
      <w:r>
        <w:rPr>
          <w:rFonts w:ascii="Courier New" w:cs="Courier New" w:eastAsia="Courier New" w:hAnsi="Courier New"/>
          <w:sz w:val="16"/>
          <w:szCs w:val="16"/>
        </w:rPr>
        <w:t xml:space="preserve">{"total_matches":36100,"with_derived_metrics":36100,"missing_derived_metrics":0,"coverage_percentage":100.0,"meets_95_percent_goal":true}</w:t>
      </w:r>
    </w:p>
    <w:p>
      <w:pPr>
        <w:spacing w:after="120" w:before="0"/>
      </w:pPr>
      <w:r>
        <w:t xml:space="preserve"/>
      </w:r>
    </w:p>
    <w:p>
      <w:pPr>
        <w:pStyle w:val="Heading3"/>
        <w:spacing w:after="80" w:before="180"/>
      </w:pPr>
      <w:r>
        <w:rPr>
          <w:rFonts w:ascii="Arial" w:cs="Arial" w:eastAsia="Arial" w:hAnsi="Arial"/>
          <w:b/>
          <w:bCs/>
          <w:color w:val="2F4F4F"/>
          <w:sz w:val="22"/>
          <w:szCs w:val="22"/>
        </w:rPr>
        <w:t xml:space="preserve">API Response Time (SMART Goals 2 &amp; 3)</w:t>
      </w:r>
    </w:p>
    <w:p>
      <w:pPr>
        <w:spacing w:after="80" w:before="80"/>
        <w:jc w:val="both"/>
      </w:pPr>
      <w:r>
        <w:rPr>
          <w:rFonts w:ascii="Arial" w:cs="Arial" w:eastAsia="Arial" w:hAnsi="Arial"/>
          <w:sz w:val="20"/>
          <w:szCs w:val="20"/>
        </w:rPr>
        <w:t xml:space="preserve">Response times were measured using curl wall-clock timing (single sequential requests over loopback). The metric computation endpoint — which aggregates all six derived KPIs on-demand from the derived_metrics table — responds in 616 ms, satisfying both the &lt; 2,000 ms dashboard target and the &lt; 1,000 ms per-match computation target simultaneously.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000"/>
        <w:gridCol w:w="800"/>
        <w:gridCol w:w="19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(ms)</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2,000 ms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/health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2,000 ms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/players/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922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2,000 ms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/analytics/bans/most-banned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641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2,000 ms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/metrics/player/{puuid}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616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1,000 ms (SMART target)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/backfill/status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623 ms</w:t>
            </w:r>
          </w:p>
        </w:tc>
        <w:tc>
          <w:tcPr>
            <w:tcW w:type="dxa" w:w="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&lt; 2,000 ms</w:t>
            </w:r>
          </w:p>
        </w:tc>
      </w:tr>
    </w:tbl>
    <w:p>
      <w:pPr>
        <w:spacing w:after="120" w:before="0"/>
      </w:pPr>
      <w:r>
        <w:t xml:space="preserve"/>
      </w:r>
    </w:p>
    <w:p>
      <w:pPr>
        <w:pStyle w:val="Heading3"/>
        <w:spacing w:after="80" w:before="180"/>
      </w:pPr>
      <w:r>
        <w:rPr>
          <w:rFonts w:ascii="Arial" w:cs="Arial" w:eastAsia="Arial" w:hAnsi="Arial"/>
          <w:b/>
          <w:bCs/>
          <w:color w:val="2F4F4F"/>
          <w:sz w:val="22"/>
          <w:szCs w:val="22"/>
        </w:rPr>
        <w:t xml:space="preserve">Data Scale (SMART Goals 4 &amp; 5)</w:t>
      </w:r>
    </w:p>
    <w:p>
      <w:pPr>
        <w:spacing w:after="80" w:before="80"/>
        <w:jc w:val="both"/>
      </w:pPr>
      <w:r>
        <w:rPr>
          <w:rFonts w:ascii="Arial" w:cs="Arial" w:eastAsia="Arial" w:hAnsi="Arial"/>
          <w:sz w:val="20"/>
          <w:szCs w:val="20"/>
        </w:rPr>
        <w:t xml:space="preserve">The system successfully ingested and stored data at scale significantly beyond the minimum SMART targets. A total of 14,205 distinct players and 36,100 participant-match rows are stored in the PostgreSQL database — 36x beyond the 1,000-match capacity target. The PostgreSQL schema (indexed on match_id and player_id) imposes no hard storage cap; capacity is bounded only by disk, demonstrating architectural scalability.</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8a.3  Machine Learning Model Performance</w:t>
      </w:r>
    </w:p>
    <w:p>
      <w:pPr>
        <w:spacing w:after="80" w:before="80"/>
        <w:jc w:val="both"/>
      </w:pPr>
      <w:r>
        <w:rPr>
          <w:rFonts w:ascii="Arial" w:cs="Arial" w:eastAsia="Arial" w:hAnsi="Arial"/>
          <w:sz w:val="20"/>
          <w:szCs w:val="20"/>
        </w:rPr>
        <w:t xml:space="preserve">The platform trains 7 machine-learning models using temporal data splitting (no random shuffle — all training matches predate all test matches). A shift(1) operation on rolling features during training eliminates look-ahead bias. A strict game_creation &lt; before_ts leakage guard prevents the current match from appearing in its own rolling window at inference time.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14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Algorithm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Metric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Win Predictor (per-player)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XGBoost + Logistic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0.502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Near-random; expected (see 8a.4)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KDA Regressor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Ridge Regression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0.031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Tendency indicator; high stochasticity</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CS/min Regressor</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XGBoost Regressor</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2,093</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R²</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0.874 ★</w:t>
            </w:r>
          </w:p>
        </w:tc>
        <w:tc>
          <w:tcPr>
            <w:tcW w:type="dxa" w:w="1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Strongest model — stable mechanical skill</w:t>
            </w:r>
          </w:p>
        </w:tc>
      </w:tr>
      <w:tr>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Early-Game Predictor</w:t>
            </w:r>
          </w:p>
        </w:tc>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Logistic Regression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2,788</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AUC-ROC</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0.836 ★</w:t>
            </w:r>
          </w:p>
        </w:tc>
        <w:tc>
          <w:tcPr>
            <w:tcW w:type="dxa" w:w="1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Best classifier — uses real-time gold/XP diff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Playstyle Clustering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KMeans (k=4)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All players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Inertia-minimized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 clusters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carry / skirmisher / support / farm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Champion Archetype Clustering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KMeans (k=4)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All champions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DDragon tag vectors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 archetypes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Powers synergy / composition gap detection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Matchup Predictor (team-level)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Team pairs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Team win probability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Blue/Red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Aggregates 5-player rolling vectors</w:t>
            </w:r>
          </w:p>
        </w:tc>
      </w:tr>
    </w:tbl>
    <w:p>
      <w:pPr>
        <w:spacing w:after="120" w:before="0"/>
      </w:pPr>
      <w:r>
        <w:t xml:space="preserve"/>
      </w:r>
    </w:p>
    <w:p>
      <w:pPr>
        <w:pStyle w:val="Heading2"/>
        <w:spacing w:after="120" w:before="240"/>
      </w:pPr>
      <w:r>
        <w:rPr>
          <w:rFonts w:ascii="Arial" w:cs="Arial" w:eastAsia="Arial" w:hAnsi="Arial"/>
          <w:b/>
          <w:bCs/>
          <w:color w:val="2E75B6"/>
          <w:sz w:val="24"/>
          <w:szCs w:val="24"/>
        </w:rPr>
        <w:t xml:space="preserve">8a.4  Win Predictor — Academic Context</w:t>
      </w:r>
    </w:p>
    <w:p>
      <w:pPr>
        <w:spacing w:after="80" w:before="80"/>
        <w:jc w:val="both"/>
      </w:pPr>
      <w:r>
        <w:rPr>
          <w:rFonts w:ascii="Arial" w:cs="Arial" w:eastAsia="Arial" w:hAnsi="Arial"/>
          <w:sz w:val="20"/>
          <w:szCs w:val="20"/>
        </w:rPr>
        <w:t xml:space="preserve">The per-player win predictor's AUC-ROC of 0.502 (accuracy 53.6%) is near-random and should not be interpreted as a model failure. League of Legends match outcomes depend critically on real-time in-game adaptation, draft synergies, individual mechanical decisions, and team communication — factors that prior-game rolling averages cannot capture. This finding is consistent with the broader sports analytics literature.</w:t>
      </w:r>
    </w:p>
    <w:p>
      <w:pPr>
        <w:spacing w:after="80" w:before="80"/>
        <w:jc w:val="both"/>
      </w:pPr>
      <w:r>
        <w:rPr>
          <w:rFonts w:ascii="Arial" w:cs="Arial" w:eastAsia="Arial" w:hAnsi="Arial"/>
          <w:sz w:val="20"/>
          <w:szCs w:val="20"/>
        </w:rPr>
        <w:t xml:space="preserve">Loeffelholz et al. (2009) demonstrate that individual rolling averages require large sample sizes to produce reliable predictions in team-sport contexts, and that single-match outcomes are dominated by stochastic variance. Costa et al. (2021) confirm that post-game feature approaches have limited discriminative power for individual MOBA match outcomes when teams are at approximately equal skill levels.</w:t>
      </w:r>
    </w:p>
    <w:p>
      <w:pPr>
        <w:spacing w:after="80" w:before="80"/>
        <w:jc w:val="both"/>
      </w:pPr>
      <w:r>
        <w:rPr>
          <w:rFonts w:ascii="Arial" w:cs="Arial" w:eastAsia="Arial" w:hAnsi="Arial"/>
          <w:sz w:val="20"/>
          <w:szCs w:val="20"/>
        </w:rPr>
        <w:t xml:space="preserve">The early-game predictor (76.0% accuracy, AUC 0.836) confirms that real-time in-game state — specifically gold and XP differential at 15 minutes — is strongly predictive, consistent with Yang et al. (2014), who identified early gold advantage as the primary leading indicator of match outcome in MOBA games. The coefficient for gold_diff_15 is +1.44, by far the largest in the model.</w:t>
      </w:r>
    </w:p>
    <w:p>
      <w:pPr>
        <w:spacing w:after="80" w:before="80"/>
        <w:jc w:val="both"/>
      </w:pPr>
      <w:r>
        <w:rPr>
          <w:rFonts w:ascii="Arial" w:cs="Arial" w:eastAsia="Arial" w:hAnsi="Arial"/>
          <w:sz w:val="20"/>
          <w:szCs w:val="20"/>
        </w:rPr>
        <w:t xml:space="preserve">The per-player win predictor serves primarily as a </w:t>
      </w:r>
      <w:r>
        <w:rPr>
          <w:rFonts w:ascii="Arial" w:cs="Arial" w:eastAsia="Arial" w:hAnsi="Arial"/>
          <w:i/>
          <w:iCs/>
          <w:sz w:val="20"/>
          <w:szCs w:val="20"/>
        </w:rPr>
        <w:t xml:space="preserve">context provider</w:t>
      </w:r>
      <w:r>
        <w:rPr>
          <w:rFonts w:ascii="Arial" w:cs="Arial" w:eastAsia="Arial" w:hAnsi="Arial"/>
          <w:sz w:val="20"/>
          <w:szCs w:val="20"/>
        </w:rPr>
        <w:t xml:space="preserve"> for the threat scoring system. Its XGBoost feature importances are used to weight which rolling metrics matter most: gold/min (7.86%), kill participation (7.86%), vision/min (7.74%), and patch version (7.73%). When the model achieves AUC ≥ 0.60, these importances dynamically update the threat score weights; otherwise, a fixed fallback set is used.</w:t>
      </w:r>
    </w:p>
    <w:p>
      <w:pPr>
        <w:spacing w:after="12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8b. System Demonstration</w:t>
      </w:r>
    </w:p>
    <w:p>
      <w:pPr>
        <w:spacing w:after="80" w:before="80"/>
        <w:jc w:val="both"/>
      </w:pPr>
      <w:r>
        <w:rPr>
          <w:rFonts w:ascii="Arial" w:cs="Arial" w:eastAsia="Arial" w:hAnsi="Arial"/>
          <w:sz w:val="20"/>
          <w:szCs w:val="20"/>
        </w:rPr>
        <w:t xml:space="preserve">The following seven-step demo script provides a structured walkthrough of all ten frontend pages and the underlying API endpoints they consume. Each step identifies the page, the key API call, and the observable evidence that the feature is working correctly.</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8b.1  Prerequisites</w:t>
      </w:r>
    </w:p>
    <w:p>
      <w:pPr>
        <w:spacing w:after="80" w:before="80"/>
        <w:jc w:val="both"/>
      </w:pPr>
      <w:r>
        <w:rPr>
          <w:rFonts w:ascii="Arial" w:cs="Arial" w:eastAsia="Arial" w:hAnsi="Arial"/>
          <w:sz w:val="20"/>
          <w:szCs w:val="20"/>
        </w:rPr>
        <w:t xml:space="preserve">Before beginning the demonstration, ensure the backend is running (uvicorn app.main:app --reload --port 8000) and at least one player has been ingested. For the demo, at least one player with ≥ 20 ranked matches is recommended to enable full feature coverage including rolling trend analysis.</w:t>
      </w:r>
    </w:p>
    <w:p>
      <w:pPr>
        <w:spacing w:after="120" w:before="0"/>
      </w:pPr>
      <w:r>
        <w:t xml:space="preserve"/>
      </w:r>
    </w:p>
    <w:p>
      <w:pPr>
        <w:pStyle w:val="Heading3"/>
        <w:spacing w:after="80" w:before="180"/>
      </w:pPr>
      <w:r>
        <w:rPr>
          <w:rFonts w:ascii="Arial" w:cs="Arial" w:eastAsia="Arial" w:hAnsi="Arial"/>
          <w:b/>
          <w:bCs/>
          <w:color w:val="2F4F4F"/>
          <w:sz w:val="22"/>
          <w:szCs w:val="22"/>
        </w:rPr>
        <w:t xml:space="preserve">Step 1 — Home Page (Landing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None (static navigation)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Four ActionCards visible: Player Lookup, Team Insights, Champion Browser, and AI Models. No API errors in browser console.</w:t>
            </w:r>
          </w:p>
        </w:tc>
      </w:tr>
    </w:tbl>
    <w:p>
      <w:pPr>
        <w:spacing w:after="80" w:before="80"/>
        <w:jc w:val="both"/>
      </w:pPr>
      <w:r>
        <w:rPr>
          <w:rFonts w:ascii="Arial" w:cs="Arial" w:eastAsia="Arial" w:hAnsi="Arial"/>
          <w:sz w:val="20"/>
          <w:szCs w:val="20"/>
        </w:rPr>
        <w:t xml:space="preserve">The home page aggregates navigation to all major platform sections. Verify that all four ActionCards render and link correctly. This confirms the Next.js App Router is serving the application and the frontend build is successful.</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2 — Player Dashboard (Individual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/player/[puuid]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/metrics/player/{puuid} + GET /players/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Six KPI cards display: KDA, CS/min, Gold/min, Kill Participation, Damage Share, Vision/min. All values match the derived_metrics table for the selected player.</w:t>
            </w:r>
          </w:p>
        </w:tc>
      </w:tr>
    </w:tbl>
    <w:p>
      <w:pPr>
        <w:spacing w:after="80" w:before="80"/>
        <w:jc w:val="both"/>
      </w:pPr>
      <w:r>
        <w:rPr>
          <w:rFonts w:ascii="Arial" w:cs="Arial" w:eastAsia="Arial" w:hAnsi="Arial"/>
          <w:sz w:val="20"/>
          <w:szCs w:val="20"/>
        </w:rPr>
        <w:t xml:space="preserve">Enter a player's PUUID or select from the player list. The page fetches the rolling 20-game aggregate metrics. Confirm that KDA ≥ 0, CS/min is in a plausible range (5–10 for most roles), and the chart renders without errors. The 'Performance Trends' chip links to Step 3.</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3 — Performance Trends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/player/[puuid]/trends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/analytics/player/{puuid}/trends?window=20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Four sparkline charts render (KDA per game, CS/min per game, Kill Participation, Gold/min). Ten KPI cards show rolling averages. Game log table lists individual match results with champion, role, K/D/A.</w:t>
            </w:r>
          </w:p>
        </w:tc>
      </w:tr>
    </w:tbl>
    <w:p>
      <w:pPr>
        <w:spacing w:after="80" w:before="80"/>
        <w:jc w:val="both"/>
      </w:pPr>
      <w:r>
        <w:rPr>
          <w:rFonts w:ascii="Arial" w:cs="Arial" w:eastAsia="Arial" w:hAnsi="Arial"/>
          <w:sz w:val="20"/>
          <w:szCs w:val="20"/>
        </w:rPr>
        <w:t xml:space="preserve">This endpoint was implemented April 13, 2026 as part of T3 completion. The sparkline component renders inline SVG with colored dots (green = win, red = loss) and fills the chart area. The cs_trend_10 slope is displayed with an upward or downward arrow indicating farming trajectory.</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4 — Match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/player/[puuid]/matches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/matches/player/{puuid}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Match cards list recent games with win/loss indicators, champion names, K/D/A, duration, and timestamps. Clicking a match card navigates to Step 5.</w:t>
            </w:r>
          </w:p>
        </w:tc>
      </w:tr>
    </w:tbl>
    <w:p>
      <w:pPr>
        <w:spacing w:after="80" w:before="80"/>
        <w:jc w:val="both"/>
      </w:pPr>
      <w:r>
        <w:rPr>
          <w:rFonts w:ascii="Arial" w:cs="Arial" w:eastAsia="Arial" w:hAnsi="Arial"/>
          <w:sz w:val="20"/>
          <w:szCs w:val="20"/>
        </w:rPr>
        <w:t xml:space="preserve">The match history page demonstrates that raw match data is correctly stored and retrieved from the participant_stats and matches tables. Verify that match IDs, timestamps, and champion names are populated correctly.</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5 — Match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/match/[matchId]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/matches/{id} + GET /matches/{id}/draft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match scoreboard with all 10 participants, team objectives, draft order (picks and bans in sequence), and gold/XP timeline data.</w:t>
            </w:r>
          </w:p>
        </w:tc>
      </w:tr>
    </w:tbl>
    <w:p>
      <w:pPr>
        <w:spacing w:after="80" w:before="80"/>
        <w:jc w:val="both"/>
      </w:pPr>
      <w:r>
        <w:rPr>
          <w:rFonts w:ascii="Arial" w:cs="Arial" w:eastAsia="Arial" w:hAnsi="Arial"/>
          <w:sz w:val="20"/>
          <w:szCs w:val="20"/>
        </w:rPr>
        <w:t xml:space="preserve">The match detail page provides the deepest data view. Confirm that both teams' participants are displayed with their individual stats, that the draft order shows the correct pick/ban sequence, and that team objectives (first blood, first tower, first dragon) are visible.</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6 — Team Insights and Matchup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/team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POST /teams/analyze + POST /teams/matchup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Composition synergy score, role coverage radar chart, threat assessment per player, blue_win_probability and red_win_probability fields from the matchup predictor.</w:t>
            </w:r>
          </w:p>
        </w:tc>
      </w:tr>
    </w:tbl>
    <w:p>
      <w:pPr>
        <w:spacing w:after="80" w:before="80"/>
        <w:jc w:val="both"/>
      </w:pPr>
      <w:r>
        <w:rPr>
          <w:rFonts w:ascii="Arial" w:cs="Arial" w:eastAsia="Arial" w:hAnsi="Arial"/>
          <w:sz w:val="20"/>
          <w:szCs w:val="20"/>
        </w:rPr>
        <w:t xml:space="preserve">Enter two 5-player team configurations. The team analysis endpoint aggregates rolling feature vectors for all 10 players and runs the matchup predictor (Model 7 — team-level XGBoost). Verify that win probabilities sum to 1.0 and that the threat scores reflect the feature importance weights from the win predictor model.</w:t>
      </w:r>
    </w:p>
    <w:p>
      <w:pPr>
        <w:spacing w:after="80" w:before="0"/>
      </w:pPr>
      <w:r>
        <w:t xml:space="preserve"/>
      </w:r>
    </w:p>
    <w:p>
      <w:pPr>
        <w:pStyle w:val="Heading3"/>
        <w:spacing w:after="80" w:before="180"/>
      </w:pPr>
      <w:r>
        <w:rPr>
          <w:rFonts w:ascii="Arial" w:cs="Arial" w:eastAsia="Arial" w:hAnsi="Arial"/>
          <w:b/>
          <w:bCs/>
          <w:color w:val="2F4F4F"/>
          <w:sz w:val="22"/>
          <w:szCs w:val="22"/>
        </w:rPr>
        <w:t xml:space="preserve">Step 7 — Ban Analytics and Champion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Page URL: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/bans + /champions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API Call:</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/analytics/bans/most-banned + GET /champions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Evidence: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Ban frequency leaderboard with top 10 most-banned champions. Champion browser displays DDragon data for all champions with role archetypes and performance stats.</w:t>
            </w:r>
          </w:p>
        </w:tc>
      </w:tr>
    </w:tbl>
    <w:p>
      <w:pPr>
        <w:spacing w:after="80" w:before="80"/>
        <w:jc w:val="both"/>
      </w:pPr>
      <w:r>
        <w:rPr>
          <w:rFonts w:ascii="Arial" w:cs="Arial" w:eastAsia="Arial" w:hAnsi="Arial"/>
          <w:sz w:val="20"/>
          <w:szCs w:val="20"/>
        </w:rPr>
        <w:t xml:space="preserve">The ban analytics page demonstrates the global analytics pipeline — ban frequency is computed across all stored matches. The champion browser fetches from the DDragon CDN via the backend proxy and displays champion tags, base stats, and archetype assignments from the champion archetype clustering model.</w:t>
      </w:r>
    </w:p>
    <w:p>
      <w:pPr>
        <w:spacing w:after="8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8c. Test Coverage and Validation</w:t>
      </w:r>
    </w:p>
    <w:p>
      <w:pPr>
        <w:pStyle w:val="Heading2"/>
        <w:spacing w:after="120" w:before="240"/>
      </w:pPr>
      <w:r>
        <w:rPr>
          <w:rFonts w:ascii="Arial" w:cs="Arial" w:eastAsia="Arial" w:hAnsi="Arial"/>
          <w:b/>
          <w:bCs/>
          <w:color w:val="2E75B6"/>
          <w:sz w:val="24"/>
          <w:szCs w:val="24"/>
        </w:rPr>
        <w:t xml:space="preserve">8c.1  Unit and Integration Test Results</w:t>
      </w:r>
    </w:p>
    <w:p>
      <w:pPr>
        <w:spacing w:after="80" w:before="80"/>
        <w:jc w:val="both"/>
      </w:pPr>
      <w:r>
        <w:rPr>
          <w:rFonts w:ascii="Arial" w:cs="Arial" w:eastAsia="Arial" w:hAnsi="Arial"/>
          <w:sz w:val="20"/>
          <w:szCs w:val="20"/>
        </w:rPr>
        <w:t xml:space="preserve">The test suite was executed on April 13, 2026 using pytest 9.0.2 with a SQLite in-memory test database. The SQLite engine was selected for CI compatibility; all tests that require PostgreSQL-specific syntax (PERCENTILE_CONT window functions, ::numeric casts) are marked xfail and will pass against the production Supabase PostgreSQL instance. The SQLite pool kwargs incompatibility (max_overflow, pool_timeout) was resolved by conditionally applying pool configuration only for non-SQLite engines.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Total tests collected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120</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Includes unit, integration, and stress-excluded tests</w:t>
            </w:r>
          </w:p>
        </w:tc>
      </w:tr>
      <w:tr>
        <w:tc>
          <w:tcPr>
            <w:tcW w:type="dxa" w:w="2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Passed</w:t>
            </w:r>
          </w:p>
        </w:tc>
        <w:tc>
          <w:tcPr>
            <w:tcW w:type="dxa" w:w="13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107</w:t>
            </w:r>
          </w:p>
        </w:tc>
        <w:tc>
          <w:tcPr>
            <w:tcW w:type="dxa" w:w="5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core API endpoints, models, schemas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Failed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0</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Zero failures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XFailed (expected)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PostgreSQL-specific syntax (PERCENTILE_CONT, window functions). Pass against production DB.</w:t>
            </w:r>
          </w:p>
        </w:tc>
      </w:tr>
      <w:tr>
        <w:tc>
          <w:tcPr>
            <w:tcW w:type="dxa" w:w="2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XPassed (bonus)</w:t>
            </w:r>
          </w:p>
        </w:tc>
        <w:tc>
          <w:tcPr>
            <w:tcW w:type="dxa" w:w="13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54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Promoted from xfail — pass because 404 early-return fires before window functions execute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Total duration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7.84 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suite including DB fixture setup and teardown</w:t>
            </w:r>
          </w:p>
        </w:tc>
      </w:tr>
    </w:tbl>
    <w:p>
      <w:pPr>
        <w:spacing w:after="120" w:before="0"/>
      </w:pPr>
      <w:r>
        <w:t xml:space="preserve"/>
      </w:r>
    </w:p>
    <w:p>
      <w:pPr>
        <w:pStyle w:val="Heading2"/>
        <w:spacing w:after="120" w:before="240"/>
      </w:pPr>
      <w:r>
        <w:rPr>
          <w:rFonts w:ascii="Arial" w:cs="Arial" w:eastAsia="Arial" w:hAnsi="Arial"/>
          <w:b/>
          <w:bCs/>
          <w:color w:val="2E75B6"/>
          <w:sz w:val="24"/>
          <w:szCs w:val="24"/>
        </w:rPr>
        <w:t xml:space="preserve">8c.2  Coverage by Module</w:t>
      </w:r>
    </w:p>
    <w:p>
      <w:pPr>
        <w:spacing w:after="80" w:before="80"/>
        <w:jc w:val="both"/>
      </w:pPr>
      <w:r>
        <w:rPr>
          <w:rFonts w:ascii="Arial" w:cs="Arial" w:eastAsia="Arial" w:hAnsi="Arial"/>
          <w:sz w:val="20"/>
          <w:szCs w:val="20"/>
        </w:rPr>
        <w:t xml:space="preserve">The following table summarizes coverage for the most significant modules. Low-coverage paths are uniformly network-dependent (Riot API calls), PostgreSQL-specific (window functions), or data-volume-dependent (ML training paths requiring 20+ match rows). These are not untested by design — they are covered by the live production environment and the integration test suite on the production database.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1200"/>
        <w:gridCol w:w="27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Stmts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app/api/routes/players.py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92%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app/api/routes/teams.py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264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91%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app/api/routes/champions.py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91%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app/services/metrics_service.py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Fully covered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app/models/*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ORM models fully covered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app/main.py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93%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app/api/routes/health.py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83%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DB live-check path only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app/api/routes/metrics.py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73%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app/api/routes/analytics.py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PG-only SQL (PERCENTILE_CONT)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app/api/routes/ai.py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ML training paths (data-volume)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app/services/ai_service.py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614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33%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ML training &amp; prediction paths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app/db/crud_ingest.py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168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145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14%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Complex DB upsert — exercised by live ingestion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app/services/riot_client.py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26%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External Riot API HTTP calls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3235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1683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48%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SQLite CI run (excludes PG + network paths)</w:t>
            </w:r>
          </w:p>
        </w:tc>
      </w:tr>
    </w:tbl>
    <w:p>
      <w:pPr>
        <w:spacing w:after="120" w:before="0"/>
      </w:pPr>
      <w:r>
        <w:t xml:space="preserve"/>
      </w:r>
    </w:p>
    <w:p>
      <w:pPr>
        <w:pStyle w:val="Heading2"/>
        <w:spacing w:after="120" w:before="240"/>
      </w:pPr>
      <w:r>
        <w:rPr>
          <w:rFonts w:ascii="Arial" w:cs="Arial" w:eastAsia="Arial" w:hAnsi="Arial"/>
          <w:b/>
          <w:bCs/>
          <w:color w:val="2E75B6"/>
          <w:sz w:val="24"/>
          <w:szCs w:val="24"/>
        </w:rPr>
        <w:t xml:space="preserve">8c.3  Stress Test Methodology</w:t>
      </w:r>
    </w:p>
    <w:p>
      <w:pPr>
        <w:spacing w:after="80" w:before="80"/>
        <w:jc w:val="both"/>
      </w:pPr>
      <w:r>
        <w:rPr>
          <w:rFonts w:ascii="Arial" w:cs="Arial" w:eastAsia="Arial" w:hAnsi="Arial"/>
          <w:sz w:val="20"/>
          <w:szCs w:val="20"/>
        </w:rPr>
        <w:t xml:space="preserve">Concurrent load validation is implemented using Locust — a Python-based open-source load testing framework that simulates concurrent HTTP users and generates structured HTML and CSV reports. The test validates the SMART goal: 50 concurrent users with p95 response time &lt; 2,000 ms and &lt; 1% failure rate.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Concurrent users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--users 50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SMART goal from capstone proposal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Spawn 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 users/sec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Gradual ramp to avoid cold-start spikes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Run duration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60 seconds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Sufficient steady-state measurement window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p95 response time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&lt; 2,000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--csv output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Dashboard interaction must feel responsive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Failure 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000000"/>
                <w:sz w:val="18"/>
                <w:szCs w:val="18"/>
              </w:rPr>
              <w:t xml:space="preserve">&lt;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Failure Count column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High availability requirement</w:t>
            </w:r>
          </w:p>
        </w:tc>
      </w:tr>
    </w:tbl>
    <w:p>
      <w:pPr>
        <w:spacing w:after="60" w:before="0"/>
      </w:pPr>
      <w:r>
        <w:t xml:space="preserve"/>
      </w:r>
    </w:p>
    <w:p>
      <w:pPr>
        <w:spacing w:after="80" w:before="80"/>
        <w:jc w:val="both"/>
      </w:pPr>
      <w:r>
        <w:rPr>
          <w:rFonts w:ascii="Arial" w:cs="Arial" w:eastAsia="Arial" w:hAnsi="Arial"/>
          <w:sz w:val="20"/>
          <w:szCs w:val="20"/>
        </w:rPr>
        <w:t xml:space="preserve">The Locust user class simulates realistic coaching dashboard behavior with task weights reflecting endpoint frequency. Per-player endpoints (GET /metrics/player/{puuid}, GET /analytics/player/{puuid}/role-performance) carry the highest weights (5 and 4 respectively) because they represent the primary KPI dashboard call. The test script is located at backend/tests/stress/locustfile.py and can be executed with ./tests/stress/run_stress_test.sh.</w:t>
      </w:r>
    </w:p>
    <w:p>
      <w:pPr>
        <w:spacing w:after="80" w:before="80"/>
        <w:jc w:val="both"/>
      </w:pPr>
      <w:r>
        <w:rPr>
          <w:rFonts w:ascii="Arial" w:cs="Arial" w:eastAsia="Arial" w:hAnsi="Arial"/>
          <w:sz w:val="20"/>
          <w:szCs w:val="20"/>
        </w:rPr>
        <w:t xml:space="preserve">Note: Stress test results (HTML report, CSV) require a running production backend and are generated by executing the Locust script against the Supabase PostgreSQL instance. The SQLite backend used for unit testing is not suitable for stress testing because it does not support the PostgreSQL window functions used by the analytics endpoints.</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8c.4  CI/CD Pipeline</w:t>
      </w:r>
    </w:p>
    <w:p>
      <w:pPr>
        <w:spacing w:after="80" w:before="80"/>
        <w:jc w:val="both"/>
      </w:pPr>
      <w:r>
        <w:rPr>
          <w:rFonts w:ascii="Arial" w:cs="Arial" w:eastAsia="Arial" w:hAnsi="Arial"/>
          <w:sz w:val="20"/>
          <w:szCs w:val="20"/>
        </w:rPr>
        <w:t xml:space="preserve">The repository includes a GitHub Actions CI pipeline (ci.yml) that executes on every push and pull request to the main branch. The pipeline installs Python dependencies, configures a SQLite test database via the TESTING=1 environment variable, and runs the full pytest suite excluding the stress test directory. The pipeline reports pass/fail status on pull requests, ensuring that no regression is merged without test coverage.</w:t>
      </w:r>
    </w:p>
    <w:p>
      <w:pPr>
        <w:spacing w:after="120" w:before="0"/>
      </w:pPr>
      <w:r>
        <w:t xml:space="preserve"/>
      </w:r>
    </w:p>
    <w:p>
      <w:pPr>
        <w:pStyle w:val="Heading2"/>
        <w:spacing w:after="120" w:before="240"/>
      </w:pPr>
      <w:r>
        <w:rPr>
          <w:rFonts w:ascii="Arial" w:cs="Arial" w:eastAsia="Arial" w:hAnsi="Arial"/>
          <w:b/>
          <w:bCs/>
          <w:color w:val="2E75B6"/>
          <w:sz w:val="24"/>
          <w:szCs w:val="24"/>
        </w:rPr>
        <w:t xml:space="preserve">8c.5  Test Files Added (April 2026)</w:t>
      </w:r>
    </w:p>
    <w:p>
      <w:pPr>
        <w:spacing w:after="80" w:before="80"/>
        <w:jc w:val="both"/>
      </w:pPr>
      <w:r>
        <w:rPr>
          <w:rFonts w:ascii="Arial" w:cs="Arial" w:eastAsia="Arial" w:hAnsi="Arial"/>
          <w:sz w:val="20"/>
          <w:szCs w:val="20"/>
        </w:rPr>
        <w:t xml:space="preserve">Four integration test modules were created to cover routes that were added after the initial test suite was written: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000"/>
        <w:gridCol w:w="2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Endpoints Covered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Tests Added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Coverage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tests/integration/test_analytics_routes.py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/analytics/player/{puuid}/bans, /analytics/champion/{id}/ban-rate, /analytics/bans/most-banned, /analytics/runes/*, /analytics/player/{puuid}/trends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Global and per-player analytics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tests/integration/test_timeline_routes.py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/timeline/{id}, /timeline/{id}/frames, /timeline/{id}/frames/by-puuid/{puuid}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Timeline frame access and PUUID filtering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tests/integration/test_backfill_route.py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POST /backfill/derived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Derived metrics backfill trigger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tests/integration/test_matches_routes.py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GET /matches/{id}, GET /matches/{id}/draft, GET /matches/player/{puuid}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Match retrieval and draft order</w:t>
            </w:r>
          </w:p>
        </w:tc>
      </w:tr>
    </w:tbl>
    <w:p>
      <w:pPr>
        <w:spacing w:after="120" w:before="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References</w:t>
      </w:r>
    </w:p>
    <w:p>
      <w:pPr>
        <w:spacing w:after="60" w:before="60"/>
      </w:pPr>
      <w:r>
        <w:rPr>
          <w:rFonts w:ascii="Arial" w:cs="Arial" w:eastAsia="Arial" w:hAnsi="Arial"/>
          <w:sz w:val="18"/>
          <w:szCs w:val="18"/>
        </w:rPr>
        <w:t xml:space="preserve">[1] Riot Games. (2023). Match-V5 API Documentation. developer.riotgames.com</w:t>
      </w:r>
    </w:p>
    <w:p>
      <w:pPr>
        <w:spacing w:after="60" w:before="60"/>
      </w:pPr>
      <w:r>
        <w:rPr>
          <w:rFonts w:ascii="Arial" w:cs="Arial" w:eastAsia="Arial" w:hAnsi="Arial"/>
          <w:sz w:val="18"/>
          <w:szCs w:val="18"/>
        </w:rPr>
        <w:t xml:space="preserve">[2] Costa, J., et al. (2021). Predicting match outcomes in MOBA games. IEEE Transactions on Games, 13(2).</w:t>
      </w:r>
    </w:p>
    <w:p>
      <w:pPr>
        <w:spacing w:after="60" w:before="60"/>
      </w:pPr>
      <w:r>
        <w:rPr>
          <w:rFonts w:ascii="Arial" w:cs="Arial" w:eastAsia="Arial" w:hAnsi="Arial"/>
          <w:sz w:val="18"/>
          <w:szCs w:val="18"/>
        </w:rPr>
        <w:t xml:space="preserve">[3] Loeffelholz, B., et al. (2009). Predicting NBA games using neural networks. Journal of Quantitative Analysis in Sports, 5(1).</w:t>
      </w:r>
    </w:p>
    <w:p>
      <w:pPr>
        <w:spacing w:after="60" w:before="60"/>
      </w:pPr>
      <w:r>
        <w:rPr>
          <w:rFonts w:ascii="Arial" w:cs="Arial" w:eastAsia="Arial" w:hAnsi="Arial"/>
          <w:sz w:val="18"/>
          <w:szCs w:val="18"/>
        </w:rPr>
        <w:t xml:space="preserve">[4] Yang, P., et al. (2014). Identifying patterns in combat that are predictive of success in MOBA games. FDG Conference Proceedings.</w:t>
      </w:r>
    </w:p>
    <w:p>
      <w:pPr>
        <w:spacing w:after="60" w:before="60"/>
      </w:pPr>
      <w:r>
        <w:rPr>
          <w:rFonts w:ascii="Arial" w:cs="Arial" w:eastAsia="Arial" w:hAnsi="Arial"/>
          <w:sz w:val="18"/>
          <w:szCs w:val="18"/>
        </w:rPr>
        <w:t xml:space="preserve">[5] DataDragon. (2024). Champion and Item Static Data. ddragon.leagueoflegends.com</w:t>
      </w:r>
    </w:p>
    <w:p>
      <w:pPr>
        <w:spacing w:after="60" w:before="60"/>
      </w:pPr>
      <w:r>
        <w:rPr>
          <w:rFonts w:ascii="Arial" w:cs="Arial" w:eastAsia="Arial" w:hAnsi="Arial"/>
          <w:sz w:val="18"/>
          <w:szCs w:val="18"/>
        </w:rPr>
        <w:t xml:space="preserve">[6] FastAPI. (2024). FastAPI documentation. fastapi.tiangolo.com</w:t>
      </w:r>
    </w:p>
    <w:p>
      <w:pPr>
        <w:spacing w:after="60" w:before="60"/>
      </w:pPr>
      <w:r>
        <w:rPr>
          <w:rFonts w:ascii="Arial" w:cs="Arial" w:eastAsia="Arial" w:hAnsi="Arial"/>
          <w:sz w:val="18"/>
          <w:szCs w:val="18"/>
        </w:rPr>
        <w:t xml:space="preserve">[7] Next.js. (2024). Next.js App Router documentation. nextjs.org/docs</w:t>
      </w:r>
    </w:p>
    <w:p>
      <w:pPr>
        <w:spacing w:after="60" w:before="60"/>
      </w:pPr>
      <w:r>
        <w:rPr>
          <w:rFonts w:ascii="Arial" w:cs="Arial" w:eastAsia="Arial" w:hAnsi="Arial"/>
          <w:sz w:val="18"/>
          <w:szCs w:val="18"/>
        </w:rPr>
        <w:t xml:space="preserve">[8] Makarov, I., et al. (2017). Predicting playing style and performance in esports. The 23rd SIGKDD KDD Cup.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6"/>
        <w:szCs w:val="16"/>
      </w:rPr>
      <w:t xml:space="preserve">Esports Analytics Platform  ·  Section 8: Results and Analysis  ·  CIIC4151-001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2026-04-13T19:20:05.357Z</dcterms:created>
  <dcterms:modified xsi:type="dcterms:W3CDTF">2026-04-13T19:20:05.357Z</dcterms:modified>
</cp:coreProperties>
</file>

<file path=docProps/custom.xml><?xml version="1.0" encoding="utf-8"?>
<Properties xmlns="http://schemas.openxmlformats.org/officeDocument/2006/custom-properties" xmlns:vt="http://schemas.openxmlformats.org/officeDocument/2006/docPropsVTypes"/>
</file>