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E8673A"/>
          <w:sz w:val="56"/>
          <w:szCs w:val="56"/>
        </w:rPr>
        <w:t xml:space="preserve">ATTUNE</w:t>
      </w:r>
    </w:p>
    <w:p>
      <w:pPr>
        <w:spacing w:after="120" w:before="0"/>
      </w:pPr>
      <w:r>
        <w:rPr>
          <w:rFonts w:ascii="Arial" w:cs="Arial" w:eastAsia="Arial" w:hAnsi="Arial"/>
          <w:b/>
          <w:bCs/>
          <w:color w:val="0E0B07"/>
          <w:sz w:val="40"/>
          <w:szCs w:val="40"/>
        </w:rPr>
        <w:t xml:space="preserve">How It Works</w:t>
      </w:r>
    </w:p>
    <w:p>
      <w:pPr>
        <w:spacing w:after="600" w:before="0"/>
      </w:pPr>
      <w:r>
        <w:rPr>
          <w:rFonts w:ascii="Arial" w:cs="Arial" w:eastAsia="Arial" w:hAnsi="Arial"/>
          <w:i/>
          <w:iCs/>
          <w:color w:val="6B5030"/>
          <w:sz w:val="22"/>
          <w:szCs w:val="22"/>
        </w:rPr>
        <w:t xml:space="preserve">Exercise structure, measurement system, and couple type derivation</w:t>
      </w:r>
    </w:p>
    <w:p>
      <w:pPr>
        <w:spacing w:after="960" w:before="0"/>
      </w:pPr>
      <w:r>
        <w:rPr>
          <w:rFonts w:ascii="Arial" w:cs="Arial" w:eastAsia="Arial" w:hAnsi="Arial"/>
          <w:color w:val="6B5030"/>
          <w:sz w:val="20"/>
          <w:szCs w:val="20"/>
        </w:rPr>
        <w:t xml:space="preserve">attune-relationships.com  ·  hello@attune-relationships.com</w:t>
      </w:r>
    </w:p>
    <w:p>
      <w:pPr>
        <w:spacing w:after="100" w:before="0"/>
        <w:jc w:val="left"/>
      </w:pPr>
      <w:r>
        <w:rPr>
          <w:rFonts w:ascii="Arial" w:cs="Arial" w:eastAsia="Arial" w:hAnsi="Arial"/>
          <w:b/>
          <w:bCs/>
          <w:i w:val="false"/>
          <w:iCs w:val="false"/>
          <w:color w:val="0E0B07"/>
          <w:sz w:val="22"/>
          <w:szCs w:val="22"/>
        </w:rPr>
        <w:t xml:space="preserve">What this document covers</w:t>
      </w:r>
    </w:p>
    <w:p>
      <w:pPr>
        <w:spacing w:after="200" w:before="0"/>
        <w:jc w:val="left"/>
      </w:pPr>
      <w:r>
        <w:rPr>
          <w:rFonts w:ascii="Arial" w:cs="Arial" w:eastAsia="Arial" w:hAnsi="Arial"/>
          <w:b w:val="false"/>
          <w:bCs w:val="false"/>
          <w:i w:val="false"/>
          <w:iCs w:val="false"/>
          <w:color w:val="0E0B07"/>
          <w:sz w:val="22"/>
          <w:szCs w:val="22"/>
        </w:rPr>
        <w:t xml:space="preserve">This document explains what Attune measures, how it does it, and what the results mean. It covers the two exercises, the ten communication dimensions, how scores are derived, how the couple type is identified, and where the system has genuine limitations. Nothing is hidden here — the goal is for couples and professionals who use Attune to understand it clearly.</w:t>
      </w:r>
    </w:p>
    <w:p>
      <w:pPr>
        <w:spacing w:after="400" w:before="0"/>
        <w:jc w:val="left"/>
      </w:pPr>
      <w:r>
        <w:rPr>
          <w:rFonts w:ascii="Arial" w:cs="Arial" w:eastAsia="Arial" w:hAnsi="Arial"/>
          <w:b w:val="false"/>
          <w:bCs w:val="false"/>
          <w:i w:val="false"/>
          <w:iCs w:val="false"/>
          <w:color w:val="0E0B07"/>
          <w:sz w:val="22"/>
          <w:szCs w:val="22"/>
        </w:rPr>
        <w:t xml:space="preserve">One thing to be clear about upfront: Attune is not a personality test. It does not produce a label for either person. It measures how two people communicate with each other — the patterns, tendencies, and mismatches that are most likely to show up in daily life — and it identifies the structural signature of the pairing.</w:t>
      </w:r>
    </w:p>
    <w:p>
      <w:pPr>
        <w:pBdr>
          <w:bottom w:val="single" w:color="E8673A" w:sz="6"/>
        </w:pBdr>
        <w:spacing w:after="200" w:before="400"/>
      </w:pPr>
      <w:r>
        <w:rPr>
          <w:rFonts w:ascii="Arial" w:cs="Arial" w:eastAsia="Arial" w:hAnsi="Arial"/>
          <w:b/>
          <w:bCs/>
          <w:color w:val="0E0B07"/>
          <w:sz w:val="32"/>
          <w:szCs w:val="32"/>
        </w:rPr>
        <w:t xml:space="preserve">Part 1 — The Exercise Structure</w:t>
      </w:r>
    </w:p>
    <w:p>
      <w:pPr>
        <w:spacing w:after="200" w:before="0"/>
        <w:jc w:val="left"/>
      </w:pPr>
      <w:r>
        <w:rPr>
          <w:rFonts w:ascii="Arial" w:cs="Arial" w:eastAsia="Arial" w:hAnsi="Arial"/>
          <w:b w:val="false"/>
          <w:bCs w:val="false"/>
          <w:i w:val="false"/>
          <w:iCs w:val="false"/>
          <w:color w:val="0E0B07"/>
          <w:sz w:val="22"/>
          <w:szCs w:val="22"/>
        </w:rPr>
        <w:t xml:space="preserve">Attune has two required exercises and one optional one. Each partner completes them independently, on their own device, before either of them sees results. This independence is the whole point: what Attune surfaces is how your answers compare, not a joint assessment you arrive at together.</w:t>
      </w:r>
    </w:p>
    <w:p>
      <w:pPr>
        <w:spacing w:after="160" w:before="360"/>
      </w:pPr>
      <w:r>
        <w:rPr>
          <w:rFonts w:ascii="Arial" w:cs="Arial" w:eastAsia="Arial" w:hAnsi="Arial"/>
          <w:b/>
          <w:bCs/>
          <w:color w:val="0E0B07"/>
          <w:sz w:val="26"/>
          <w:szCs w:val="26"/>
        </w:rPr>
        <w:t xml:space="preserve">Exercise 1 — Communication (50 questions)</w:t>
      </w:r>
    </w:p>
    <w:p>
      <w:pPr>
        <w:spacing w:after="160" w:before="0"/>
        <w:jc w:val="left"/>
      </w:pPr>
      <w:r>
        <w:rPr>
          <w:rFonts w:ascii="Arial" w:cs="Arial" w:eastAsia="Arial" w:hAnsi="Arial"/>
          <w:b w:val="false"/>
          <w:bCs w:val="false"/>
          <w:i w:val="false"/>
          <w:iCs w:val="false"/>
          <w:color w:val="0E0B07"/>
          <w:sz w:val="22"/>
          <w:szCs w:val="22"/>
        </w:rPr>
        <w:t xml:space="preserve">This is the core of the system. Each partner answers 50 questions across ten communication dimensions, five questions per dimension. The questions are written as first-person behavioral descriptions — they ask what you tend to do, not what you aspire to or what you think you should do.</w:t>
      </w:r>
    </w:p>
    <w:p>
      <w:pPr>
        <w:spacing w:after="200" w:before="0"/>
        <w:jc w:val="left"/>
      </w:pPr>
      <w:r>
        <w:rPr>
          <w:rFonts w:ascii="Arial" w:cs="Arial" w:eastAsia="Arial" w:hAnsi="Arial"/>
          <w:b w:val="false"/>
          <w:bCs w:val="false"/>
          <w:i w:val="false"/>
          <w:iCs w:val="false"/>
          <w:color w:val="0E0B07"/>
          <w:sz w:val="22"/>
          <w:szCs w:val="22"/>
        </w:rPr>
        <w:t xml:space="preserve">Each question offers two options, labeled A and B. Answers score as 1 or 5. The few questions where a genuine midpoint is appropriate score as 3 when selected. Five answers per dimension produce an average between 1 and 5, representing that person's position on the dimension's behavioral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673A" w:sz="1"/>
              <w:left w:val="single" w:color="E8673A" w:sz="1"/>
              <w:bottom w:val="single" w:color="E8673A" w:sz="1"/>
              <w:right w:val="single" w:color="E8673A" w:sz="1"/>
            </w:tcBorders>
            <w:shd w:fill="FFF0EB" w:val="clear"/>
            <w:tcMar>
              <w:top w:type="dxa" w:w="100"/>
              <w:left w:type="dxa" w:w="120"/>
              <w:bottom w:type="dxa" w:w="100"/>
              <w:right w:type="dxa" w:w="120"/>
            </w:tcMar>
            <w:vAlign w:val="top"/>
          </w:tcPr>
          <w:p>
            <w:pPr>
              <w:spacing w:after="0" w:before="0"/>
            </w:pPr>
            <w:r>
              <w:rPr>
                <w:rFonts w:ascii="Arial" w:cs="Arial" w:eastAsia="Arial" w:hAnsi="Arial"/>
                <w:b/>
                <w:bCs/>
                <w:color w:val="E8673A"/>
                <w:sz w:val="18"/>
                <w:szCs w:val="18"/>
              </w:rPr>
              <w:t xml:space="preserve">Why forced choice?</w:t>
            </w:r>
          </w:p>
        </w:tc>
        <w:tc>
          <w:tcPr>
            <w:tcW w:type="dxa" w:w="8160"/>
            <w:tcBorders>
              <w:top w:val="single" w:color="E8673A" w:sz="1"/>
              <w:left w:val="single" w:color="E8673A" w:sz="1"/>
              <w:bottom w:val="single" w:color="E8673A" w:sz="1"/>
              <w:right w:val="single" w:color="E8673A" w:sz="1"/>
            </w:tcBorders>
            <w:shd w:fill="FFF0EB" w:val="clear"/>
            <w:tcMar>
              <w:top w:type="dxa" w:w="100"/>
              <w:left w:type="dxa" w:w="160"/>
              <w:bottom w:type="dxa" w:w="100"/>
              <w:right w:type="dxa" w:w="120"/>
            </w:tcMar>
          </w:tcPr>
          <w:p>
            <w:pPr>
              <w:spacing w:after="0" w:before="0"/>
            </w:pPr>
            <w:r>
              <w:rPr>
                <w:rFonts w:ascii="Arial" w:cs="Arial" w:eastAsia="Arial" w:hAnsi="Arial"/>
                <w:i/>
                <w:iCs/>
                <w:color w:val="0E0B07"/>
                <w:sz w:val="20"/>
                <w:szCs w:val="20"/>
              </w:rPr>
              <w:t xml:space="preserve">Forced-choice formats reduce social desirability bias — the tendency to answer in ways that seem more admirable than accurate. When both options are presented as equally valid, people are more likely to pick the one that actually describes them.</w:t>
            </w:r>
          </w:p>
        </w:tc>
      </w:tr>
    </w:tbl>
    <w:p>
      <w:pPr>
        <w:spacing w:after="200" w:before="0"/>
      </w:pPr>
    </w:p>
    <w:p>
      <w:pPr>
        <w:spacing w:after="160" w:before="360"/>
      </w:pPr>
      <w:r>
        <w:rPr>
          <w:rFonts w:ascii="Arial" w:cs="Arial" w:eastAsia="Arial" w:hAnsi="Arial"/>
          <w:b/>
          <w:bCs/>
          <w:color w:val="0E0B07"/>
          <w:sz w:val="26"/>
          <w:szCs w:val="26"/>
        </w:rPr>
        <w:t xml:space="preserve">Exercise 2 — Expectations (Responsibilities &amp; Life Questions)</w:t>
      </w:r>
    </w:p>
    <w:p>
      <w:pPr>
        <w:spacing w:after="160" w:before="0"/>
        <w:jc w:val="left"/>
      </w:pPr>
      <w:r>
        <w:rPr>
          <w:rFonts w:ascii="Arial" w:cs="Arial" w:eastAsia="Arial" w:hAnsi="Arial"/>
          <w:b w:val="false"/>
          <w:bCs w:val="false"/>
          <w:i w:val="false"/>
          <w:iCs w:val="false"/>
          <w:color w:val="0E0B07"/>
          <w:sz w:val="22"/>
          <w:szCs w:val="22"/>
        </w:rPr>
        <w:t xml:space="preserve">Both partners independently answer questions about who handles, or who they expect to handle, responsibilities and decisions across four areas: Visible Household Labor, Financial, Career, and Emotional &amp; Invisible Labor.</w:t>
      </w:r>
    </w:p>
    <w:p>
      <w:pPr>
        <w:spacing w:after="160" w:before="0"/>
        <w:jc w:val="left"/>
      </w:pPr>
      <w:r>
        <w:rPr>
          <w:rFonts w:ascii="Arial" w:cs="Arial" w:eastAsia="Arial" w:hAnsi="Arial"/>
          <w:b w:val="false"/>
          <w:bCs w:val="false"/>
          <w:i w:val="false"/>
          <w:iCs w:val="false"/>
          <w:color w:val="0E0B07"/>
          <w:sz w:val="22"/>
          <w:szCs w:val="22"/>
        </w:rPr>
        <w:t xml:space="preserve">They also answer a set of life questions covering Children &amp; Family, Home &amp; Lifestyle, Faith &amp; Values, Money, Conflict &amp; Repair, and Connection &amp; Independence. All questions are answered separately, then compared.</w:t>
      </w:r>
    </w:p>
    <w:p>
      <w:pPr>
        <w:spacing w:after="200" w:before="0"/>
        <w:jc w:val="left"/>
      </w:pPr>
      <w:r>
        <w:rPr>
          <w:rFonts w:ascii="Arial" w:cs="Arial" w:eastAsia="Arial" w:hAnsi="Arial"/>
          <w:b w:val="false"/>
          <w:bCs w:val="false"/>
          <w:i w:val="false"/>
          <w:iCs w:val="false"/>
          <w:color w:val="0E0B07"/>
          <w:sz w:val="22"/>
          <w:szCs w:val="22"/>
        </w:rPr>
        <w:t xml:space="preserve">The results show, item by item, where both partners have the same picture and where they don't. Research consistently shows that mismatches in expectations around roles and responsibilities are a significant driver of relationship friction — not because of differing values, but because of differing assumptions that were never made explicit.</w:t>
      </w:r>
    </w:p>
    <w:p>
      <w:pPr>
        <w:spacing w:after="160" w:before="360"/>
      </w:pPr>
      <w:r>
        <w:rPr>
          <w:rFonts w:ascii="Arial" w:cs="Arial" w:eastAsia="Arial" w:hAnsi="Arial"/>
          <w:b/>
          <w:bCs/>
          <w:color w:val="0E0B07"/>
          <w:sz w:val="26"/>
          <w:szCs w:val="26"/>
        </w:rPr>
        <w:t xml:space="preserve">Exercise 3 — Relationship Reflection (optional)</w:t>
      </w:r>
    </w:p>
    <w:p>
      <w:pPr>
        <w:spacing w:after="400" w:before="0"/>
        <w:jc w:val="left"/>
      </w:pPr>
      <w:r>
        <w:rPr>
          <w:rFonts w:ascii="Arial" w:cs="Arial" w:eastAsia="Arial" w:hAnsi="Arial"/>
          <w:b w:val="false"/>
          <w:bCs w:val="false"/>
          <w:i w:val="false"/>
          <w:iCs w:val="false"/>
          <w:color w:val="0E0B07"/>
          <w:sz w:val="22"/>
          <w:szCs w:val="22"/>
        </w:rPr>
        <w:t xml:space="preserve">Available in the Anniversary package. Each partner answers 11 questions independently — a mix of written reflections and scale questions about how the relationship is going. The results show where both partners experience things similarly and where they're in different places.</w:t>
      </w:r>
    </w:p>
    <w:p>
      <w:pPr>
        <w:pBdr>
          <w:bottom w:val="single" w:color="E8673A" w:sz="6"/>
        </w:pBdr>
        <w:spacing w:after="200" w:before="400"/>
      </w:pPr>
      <w:r>
        <w:rPr>
          <w:rFonts w:ascii="Arial" w:cs="Arial" w:eastAsia="Arial" w:hAnsi="Arial"/>
          <w:b/>
          <w:bCs/>
          <w:color w:val="0E0B07"/>
          <w:sz w:val="32"/>
          <w:szCs w:val="32"/>
        </w:rPr>
        <w:t xml:space="preserve">Part 2 — The Ten Communication Dimensions</w:t>
      </w:r>
    </w:p>
    <w:p>
      <w:pPr>
        <w:spacing w:after="200" w:before="0"/>
        <w:jc w:val="left"/>
      </w:pPr>
      <w:r>
        <w:rPr>
          <w:rFonts w:ascii="Arial" w:cs="Arial" w:eastAsia="Arial" w:hAnsi="Arial"/>
          <w:b w:val="false"/>
          <w:bCs w:val="false"/>
          <w:i w:val="false"/>
          <w:iCs w:val="false"/>
          <w:color w:val="0E0B07"/>
          <w:sz w:val="22"/>
          <w:szCs w:val="22"/>
        </w:rPr>
        <w:t xml:space="preserve">Exercise 1 measures ten dimensions. Each one was selected for three qualities: meaningful grounding in peer-reviewed research, behavioral stability over time, and demonstrated relevance to how couples actually experience friction or 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860"/>
        <w:gridCol w:w="1600"/>
        <w:gridCol w:w="2600"/>
      </w:tblGrid>
      <w:tr>
        <w:trPr>
          <w:tblHeader/>
        </w:trPr>
        <w:tc>
          <w:tcPr>
            <w:tcW w:type="dxa" w:w="1600"/>
            <w:tcBorders>
              <w:top w:val="single" w:color="1B5FE8" w:sz="1"/>
              <w:left w:val="single" w:color="1B5FE8" w:sz="1"/>
              <w:bottom w:val="single" w:color="1B5FE8" w:sz="1"/>
              <w:right w:val="single" w:color="1B5FE8" w:sz="1"/>
            </w:tcBorders>
            <w:shd w:fill="EEF3FF" w:val="clear"/>
            <w:tcMar>
              <w:top w:type="dxa" w:w="80"/>
              <w:left w:type="dxa" w:w="120"/>
              <w:bottom w:type="dxa" w:w="80"/>
              <w:right w:type="dxa" w:w="80"/>
            </w:tcMar>
          </w:tcPr>
          <w:p>
            <w:pPr>
              <w:spacing w:after="0" w:before="0"/>
            </w:pPr>
            <w:r>
              <w:rPr>
                <w:rFonts w:ascii="Arial" w:cs="Arial" w:eastAsia="Arial" w:hAnsi="Arial"/>
                <w:b/>
                <w:bCs/>
                <w:color w:val="1B5FE8"/>
                <w:sz w:val="18"/>
                <w:szCs w:val="18"/>
              </w:rPr>
              <w:t xml:space="preserve">Dimension</w:t>
            </w:r>
          </w:p>
        </w:tc>
        <w:tc>
          <w:tcPr>
            <w:tcW w:type="dxa" w:w="700"/>
            <w:tcBorders>
              <w:top w:val="single" w:color="1B5FE8" w:sz="1"/>
              <w:left w:val="single" w:color="1B5FE8" w:sz="1"/>
              <w:bottom w:val="single" w:color="1B5FE8" w:sz="1"/>
              <w:right w:val="single" w:color="1B5FE8" w:sz="1"/>
            </w:tcBorders>
            <w:shd w:fill="EEF3FF" w:val="clear"/>
            <w:tcMar>
              <w:top w:type="dxa" w:w="80"/>
              <w:left w:type="dxa" w:w="120"/>
              <w:bottom w:type="dxa" w:w="80"/>
              <w:right w:type="dxa" w:w="80"/>
            </w:tcMar>
          </w:tcPr>
          <w:p>
            <w:pPr>
              <w:spacing w:after="0" w:before="0"/>
            </w:pPr>
            <w:r>
              <w:rPr>
                <w:rFonts w:ascii="Arial" w:cs="Arial" w:eastAsia="Arial" w:hAnsi="Arial"/>
                <w:b/>
                <w:bCs/>
                <w:color w:val="1B5FE8"/>
                <w:sz w:val="18"/>
                <w:szCs w:val="18"/>
              </w:rPr>
              <w:t xml:space="preserve">Questions</w:t>
            </w:r>
          </w:p>
        </w:tc>
        <w:tc>
          <w:tcPr>
            <w:tcW w:type="dxa" w:w="2860"/>
            <w:tcBorders>
              <w:top w:val="single" w:color="1B5FE8" w:sz="1"/>
              <w:left w:val="single" w:color="1B5FE8" w:sz="1"/>
              <w:bottom w:val="single" w:color="1B5FE8" w:sz="1"/>
              <w:right w:val="single" w:color="1B5FE8" w:sz="1"/>
            </w:tcBorders>
            <w:shd w:fill="EEF3FF" w:val="clear"/>
            <w:tcMar>
              <w:top w:type="dxa" w:w="80"/>
              <w:left w:type="dxa" w:w="120"/>
              <w:bottom w:type="dxa" w:w="80"/>
              <w:right w:type="dxa" w:w="80"/>
            </w:tcMar>
          </w:tcPr>
          <w:p>
            <w:pPr>
              <w:spacing w:after="0" w:before="0"/>
            </w:pPr>
            <w:r>
              <w:rPr>
                <w:rFonts w:ascii="Arial" w:cs="Arial" w:eastAsia="Arial" w:hAnsi="Arial"/>
                <w:b/>
                <w:bCs/>
                <w:color w:val="1B5FE8"/>
                <w:sz w:val="18"/>
                <w:szCs w:val="18"/>
              </w:rPr>
              <w:t xml:space="preserve">What it captures</w:t>
            </w:r>
          </w:p>
        </w:tc>
        <w:tc>
          <w:tcPr>
            <w:tcW w:type="dxa" w:w="1600"/>
            <w:tcBorders>
              <w:top w:val="single" w:color="1B5FE8" w:sz="1"/>
              <w:left w:val="single" w:color="1B5FE8" w:sz="1"/>
              <w:bottom w:val="single" w:color="1B5FE8" w:sz="1"/>
              <w:right w:val="single" w:color="1B5FE8" w:sz="1"/>
            </w:tcBorders>
            <w:shd w:fill="EEF3FF" w:val="clear"/>
            <w:tcMar>
              <w:top w:type="dxa" w:w="80"/>
              <w:left w:type="dxa" w:w="120"/>
              <w:bottom w:type="dxa" w:w="80"/>
              <w:right w:type="dxa" w:w="80"/>
            </w:tcMar>
          </w:tcPr>
          <w:p>
            <w:pPr>
              <w:spacing w:after="0" w:before="0"/>
            </w:pPr>
            <w:r>
              <w:rPr>
                <w:rFonts w:ascii="Arial" w:cs="Arial" w:eastAsia="Arial" w:hAnsi="Arial"/>
                <w:b/>
                <w:bCs/>
                <w:color w:val="1B5FE8"/>
                <w:sz w:val="18"/>
                <w:szCs w:val="18"/>
              </w:rPr>
              <w:t xml:space="preserve">Scale (low · high)</w:t>
            </w:r>
          </w:p>
        </w:tc>
        <w:tc>
          <w:tcPr>
            <w:tcW w:type="dxa" w:w="2600"/>
            <w:tcBorders>
              <w:top w:val="single" w:color="1B5FE8" w:sz="1"/>
              <w:left w:val="single" w:color="1B5FE8" w:sz="1"/>
              <w:bottom w:val="single" w:color="1B5FE8" w:sz="1"/>
              <w:right w:val="single" w:color="1B5FE8" w:sz="1"/>
            </w:tcBorders>
            <w:shd w:fill="EEF3FF" w:val="clear"/>
            <w:tcMar>
              <w:top w:type="dxa" w:w="80"/>
              <w:left w:type="dxa" w:w="120"/>
              <w:bottom w:type="dxa" w:w="80"/>
              <w:right w:type="dxa" w:w="80"/>
            </w:tcMar>
          </w:tcPr>
          <w:p>
            <w:pPr>
              <w:spacing w:after="0" w:before="0"/>
            </w:pPr>
            <w:r>
              <w:rPr>
                <w:rFonts w:ascii="Arial" w:cs="Arial" w:eastAsia="Arial" w:hAnsi="Arial"/>
                <w:b/>
                <w:bCs/>
                <w:color w:val="1B5FE8"/>
                <w:sz w:val="18"/>
                <w:szCs w:val="18"/>
              </w:rPr>
              <w:t xml:space="preserve">Primary sources</w:t>
            </w:r>
          </w:p>
        </w:tc>
      </w:tr>
      <w:tr>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Energy &amp; Recharge</w:t>
            </w:r>
          </w:p>
        </w:tc>
        <w:tc>
          <w:tcPr>
            <w:tcW w:type="dxa" w:w="7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en1–en5</w:t>
            </w:r>
          </w:p>
        </w:tc>
        <w:tc>
          <w:tcPr>
            <w:tcW w:type="dxa" w:w="28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Recharge style; draws energy from solitude vs. external stimulation</w:t>
            </w:r>
          </w:p>
        </w:tc>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Inward (1) · Outward (5)</w:t>
            </w:r>
          </w:p>
        </w:tc>
        <w:tc>
          <w:tcPr>
            <w:tcW w:type="dxa" w:w="2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Eysenck (1967); Gray RST (2000)</w:t>
            </w:r>
          </w:p>
        </w:tc>
      </w:tr>
      <w:tr>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Emotional Expression</w:t>
            </w:r>
          </w:p>
        </w:tc>
        <w:tc>
          <w:tcPr>
            <w:tcW w:type="dxa" w:w="7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ex1–ex5</w:t>
            </w:r>
          </w:p>
        </w:tc>
        <w:tc>
          <w:tcPr>
            <w:tcW w:type="dxa" w:w="286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How openly feelings, reactions, and inner experience are shared</w:t>
            </w:r>
          </w:p>
        </w:tc>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Internal (1) · External (5)</w:t>
            </w:r>
          </w:p>
        </w:tc>
        <w:tc>
          <w:tcPr>
            <w:tcW w:type="dxa" w:w="2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Pennebaker (1997); Reis &amp; Shaver (1988)</w:t>
            </w:r>
          </w:p>
        </w:tc>
      </w:tr>
      <w:tr>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How Love Lands</w:t>
            </w:r>
          </w:p>
        </w:tc>
        <w:tc>
          <w:tcPr>
            <w:tcW w:type="dxa" w:w="7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lv1–lv5</w:t>
            </w:r>
          </w:p>
        </w:tc>
        <w:tc>
          <w:tcPr>
            <w:tcW w:type="dxa" w:w="28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Whether words or actions carry more weight as expressions of care</w:t>
            </w:r>
          </w:p>
        </w:tc>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Words (1) · Actions (5)</w:t>
            </w:r>
          </w:p>
        </w:tc>
        <w:tc>
          <w:tcPr>
            <w:tcW w:type="dxa" w:w="2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Chapman (1992); Gottman (2001)</w:t>
            </w:r>
          </w:p>
        </w:tc>
      </w:tr>
      <w:tr>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How You Ask For What You Need</w:t>
            </w:r>
          </w:p>
        </w:tc>
        <w:tc>
          <w:tcPr>
            <w:tcW w:type="dxa" w:w="7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nd1–nd5</w:t>
            </w:r>
          </w:p>
        </w:tc>
        <w:tc>
          <w:tcPr>
            <w:tcW w:type="dxa" w:w="286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Whether requests are made directly or indirectly</w:t>
            </w:r>
          </w:p>
        </w:tc>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Direct (1) · Indirect (5)</w:t>
            </w:r>
          </w:p>
        </w:tc>
        <w:tc>
          <w:tcPr>
            <w:tcW w:type="dxa" w:w="2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Markman et al. (2010)</w:t>
            </w:r>
          </w:p>
        </w:tc>
      </w:tr>
      <w:tr>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Responding to Bids</w:t>
            </w:r>
          </w:p>
        </w:tc>
        <w:tc>
          <w:tcPr>
            <w:tcW w:type="dxa" w:w="7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bd1–bd5</w:t>
            </w:r>
          </w:p>
        </w:tc>
        <w:tc>
          <w:tcPr>
            <w:tcW w:type="dxa" w:w="28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Attunement to small bids for connection from a partner</w:t>
            </w:r>
          </w:p>
        </w:tc>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Reserved (1) · Attuned (5)</w:t>
            </w:r>
          </w:p>
        </w:tc>
        <w:tc>
          <w:tcPr>
            <w:tcW w:type="dxa" w:w="2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Gottman &amp; Silver (1999)</w:t>
            </w:r>
          </w:p>
        </w:tc>
      </w:tr>
      <w:tr>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Conflict Style</w:t>
            </w:r>
          </w:p>
        </w:tc>
        <w:tc>
          <w:tcPr>
            <w:tcW w:type="dxa" w:w="7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cf1–cf5</w:t>
            </w:r>
          </w:p>
        </w:tc>
        <w:tc>
          <w:tcPr>
            <w:tcW w:type="dxa" w:w="286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Preference for rapid engagement vs. withdrawal and space during conflict</w:t>
            </w:r>
          </w:p>
        </w:tc>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Engage (1) · Withdraw (5)</w:t>
            </w:r>
          </w:p>
        </w:tc>
        <w:tc>
          <w:tcPr>
            <w:tcW w:type="dxa" w:w="2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Gottman &amp; Levenson (1992); Baucom et al. (2015)</w:t>
            </w:r>
          </w:p>
        </w:tc>
      </w:tr>
      <w:tr>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Communication Under Stress</w:t>
            </w:r>
          </w:p>
        </w:tc>
        <w:tc>
          <w:tcPr>
            <w:tcW w:type="dxa" w:w="7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st1–st5</w:t>
            </w:r>
          </w:p>
        </w:tc>
        <w:tc>
          <w:tcPr>
            <w:tcW w:type="dxa" w:w="28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Whether stress produces withdrawal or an increase in reaching for connection</w:t>
            </w:r>
          </w:p>
        </w:tc>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Withdraw (1) · Seek (5)</w:t>
            </w:r>
          </w:p>
        </w:tc>
        <w:tc>
          <w:tcPr>
            <w:tcW w:type="dxa" w:w="2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Taylor et al. (2000); Bodenmann (2005)</w:t>
            </w:r>
          </w:p>
        </w:tc>
      </w:tr>
      <w:tr>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How You Repair</w:t>
            </w:r>
          </w:p>
        </w:tc>
        <w:tc>
          <w:tcPr>
            <w:tcW w:type="dxa" w:w="7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rp1–rp5</w:t>
            </w:r>
          </w:p>
        </w:tc>
        <w:tc>
          <w:tcPr>
            <w:tcW w:type="dxa" w:w="286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Whether repair after conflict tends toward action or explicit conversation</w:t>
            </w:r>
          </w:p>
        </w:tc>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Gesture (1) · Talk-through (5)</w:t>
            </w:r>
          </w:p>
        </w:tc>
        <w:tc>
          <w:tcPr>
            <w:tcW w:type="dxa" w:w="2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Gottman (1994)</w:t>
            </w:r>
          </w:p>
        </w:tc>
      </w:tr>
      <w:tr>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Closeness &amp; Independence</w:t>
            </w:r>
          </w:p>
        </w:tc>
        <w:tc>
          <w:tcPr>
            <w:tcW w:type="dxa" w:w="7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cl1–cl5</w:t>
            </w:r>
          </w:p>
        </w:tc>
        <w:tc>
          <w:tcPr>
            <w:tcW w:type="dxa" w:w="28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Degree of shared time and togetherness desired relative to independent space</w:t>
            </w:r>
          </w:p>
        </w:tc>
        <w:tc>
          <w:tcPr>
            <w:tcW w:type="dxa" w:w="1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Autonomous (1) · Close-seeking (5)</w:t>
            </w:r>
          </w:p>
        </w:tc>
        <w:tc>
          <w:tcPr>
            <w:tcW w:type="dxa" w:w="2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Bowlby (1969); Mikulincer &amp; Shaver (2007)</w:t>
            </w:r>
          </w:p>
        </w:tc>
      </w:tr>
      <w:tr>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Giving &amp; Receiving Feedback</w:t>
            </w:r>
          </w:p>
        </w:tc>
        <w:tc>
          <w:tcPr>
            <w:tcW w:type="dxa" w:w="7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fb1–fb5</w:t>
            </w:r>
          </w:p>
        </w:tc>
        <w:tc>
          <w:tcPr>
            <w:tcW w:type="dxa" w:w="286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Comfort with direct, specific feedback both given and received</w:t>
            </w:r>
          </w:p>
        </w:tc>
        <w:tc>
          <w:tcPr>
            <w:tcW w:type="dxa" w:w="1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Guarded (1) · Open (5)</w:t>
            </w:r>
          </w:p>
        </w:tc>
        <w:tc>
          <w:tcPr>
            <w:tcW w:type="dxa" w:w="26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Markman et al. (2010); DePaulo &amp; Kashy (1998)</w:t>
            </w:r>
          </w:p>
        </w:tc>
      </w:tr>
    </w:tbl>
    <w:p>
      <w:pPr>
        <w:spacing w:after="400" w:before="0"/>
      </w:pPr>
    </w:p>
    <w:p>
      <w:pPr>
        <w:pBdr>
          <w:bottom w:val="single" w:color="E8673A" w:sz="6"/>
        </w:pBdr>
        <w:spacing w:after="200" w:before="400"/>
      </w:pPr>
      <w:r>
        <w:rPr>
          <w:rFonts w:ascii="Arial" w:cs="Arial" w:eastAsia="Arial" w:hAnsi="Arial"/>
          <w:b/>
          <w:bCs/>
          <w:color w:val="0E0B07"/>
          <w:sz w:val="32"/>
          <w:szCs w:val="32"/>
        </w:rPr>
        <w:t xml:space="preserve">Part 3 — How Scores Are Computed</w:t>
      </w:r>
    </w:p>
    <w:p>
      <w:pPr>
        <w:spacing w:after="160" w:before="360"/>
      </w:pPr>
      <w:r>
        <w:rPr>
          <w:rFonts w:ascii="Arial" w:cs="Arial" w:eastAsia="Arial" w:hAnsi="Arial"/>
          <w:b/>
          <w:bCs/>
          <w:color w:val="0E0B07"/>
          <w:sz w:val="26"/>
          <w:szCs w:val="26"/>
        </w:rPr>
        <w:t xml:space="preserve">Communication dimension scores</w:t>
      </w:r>
    </w:p>
    <w:p>
      <w:pPr>
        <w:spacing w:after="200" w:before="0"/>
        <w:jc w:val="left"/>
      </w:pPr>
      <w:r>
        <w:rPr>
          <w:rFonts w:ascii="Arial" w:cs="Arial" w:eastAsia="Arial" w:hAnsi="Arial"/>
          <w:b w:val="false"/>
          <w:bCs w:val="false"/>
          <w:i w:val="false"/>
          <w:iCs w:val="false"/>
          <w:color w:val="0E0B07"/>
          <w:sz w:val="22"/>
          <w:szCs w:val="22"/>
        </w:rPr>
        <w:t xml:space="preserve">Each dimension score is the mean of five question scores. Scores run from 1.0 to 5.0. A score near 1.0 reflects a strong orientation toward the low end of the axis; a score near 5.0 reflects a strong orientation toward the high end. A score near 3.0 reflects either genuine ambivalence or behavioral flexibility.</w:t>
      </w:r>
    </w:p>
    <w:p>
      <w:pPr>
        <w:spacing w:after="160" w:before="360"/>
      </w:pPr>
      <w:r>
        <w:rPr>
          <w:rFonts w:ascii="Arial" w:cs="Arial" w:eastAsia="Arial" w:hAnsi="Arial"/>
          <w:b/>
          <w:bCs/>
          <w:color w:val="0E0B07"/>
          <w:sz w:val="26"/>
          <w:szCs w:val="26"/>
        </w:rPr>
        <w:t xml:space="preserve">Gap scores</w:t>
      </w:r>
    </w:p>
    <w:p>
      <w:pPr>
        <w:spacing w:after="160" w:before="0"/>
        <w:jc w:val="left"/>
      </w:pPr>
      <w:r>
        <w:rPr>
          <w:rFonts w:ascii="Arial" w:cs="Arial" w:eastAsia="Arial" w:hAnsi="Arial"/>
          <w:b w:val="false"/>
          <w:bCs w:val="false"/>
          <w:i w:val="false"/>
          <w:iCs w:val="false"/>
          <w:color w:val="0E0B07"/>
          <w:sz w:val="22"/>
          <w:szCs w:val="22"/>
        </w:rPr>
        <w:t xml:space="preserve">The gap score for a dimension is the absolute difference between the two partners' scores on that dimension. This is the primary signal used in results: gaps predict where friction is most likely to occur. The results pages surface dimensions in order from largest gap to smallest, so the most salient differences appear first.</w:t>
      </w:r>
    </w:p>
    <w:p>
      <w:pPr>
        <w:spacing w:after="60" w:before="0"/>
        <w:jc w:val="left"/>
      </w:pPr>
      <w:r>
        <w:rPr>
          <w:rFonts w:ascii="Arial" w:cs="Arial" w:eastAsia="Arial" w:hAnsi="Arial"/>
          <w:b w:val="false"/>
          <w:bCs w:val="false"/>
          <w:i w:val="false"/>
          <w:iCs w:val="false"/>
          <w:color w:val="0E0B07"/>
          <w:sz w:val="22"/>
          <w:szCs w:val="22"/>
        </w:rPr>
        <w:t xml:space="preserve">Gap tiers:</w:t>
      </w:r>
    </w:p>
    <w:p>
      <w:pPr>
        <w:pStyle w:val="ListParagraph"/>
        <w:numPr>
          <w:ilvl w:val="0"/>
          <w:numId w:val="2"/>
        </w:numPr>
        <w:spacing w:after="60" w:before="60"/>
      </w:pPr>
      <w:r>
        <w:rPr>
          <w:rFonts w:ascii="Arial" w:cs="Arial" w:eastAsia="Arial" w:hAnsi="Arial"/>
          <w:color w:val="0E0B07"/>
          <w:sz w:val="22"/>
          <w:szCs w:val="22"/>
        </w:rPr>
        <w:t xml:space="preserve">0.0 – 1.0: Closely aligned. Both partners sit in a similar range on this dimension.</w:t>
      </w:r>
    </w:p>
    <w:p>
      <w:pPr>
        <w:pStyle w:val="ListParagraph"/>
        <w:numPr>
          <w:ilvl w:val="0"/>
          <w:numId w:val="2"/>
        </w:numPr>
        <w:spacing w:after="60" w:before="60"/>
      </w:pPr>
      <w:r>
        <w:rPr>
          <w:rFonts w:ascii="Arial" w:cs="Arial" w:eastAsia="Arial" w:hAnsi="Arial"/>
          <w:color w:val="0E0B07"/>
          <w:sz w:val="22"/>
          <w:szCs w:val="22"/>
        </w:rPr>
        <w:t xml:space="preserve">1.0 – 1.8: Compatible with differences. Some divergence, worth awareness but not a primary concern.</w:t>
      </w:r>
    </w:p>
    <w:p>
      <w:pPr>
        <w:pStyle w:val="ListParagraph"/>
        <w:numPr>
          <w:ilvl w:val="0"/>
          <w:numId w:val="2"/>
        </w:numPr>
        <w:spacing w:after="60" w:before="60"/>
      </w:pPr>
      <w:r>
        <w:rPr>
          <w:rFonts w:ascii="Arial" w:cs="Arial" w:eastAsia="Arial" w:hAnsi="Arial"/>
          <w:color w:val="0E0B07"/>
          <w:sz w:val="22"/>
          <w:szCs w:val="22"/>
        </w:rPr>
        <w:t xml:space="preserve">1.8 – 2.5: Meaningful gap. This difference is likely to show up in recurring moments.</w:t>
      </w:r>
    </w:p>
    <w:p>
      <w:pPr>
        <w:pStyle w:val="ListParagraph"/>
        <w:numPr>
          <w:ilvl w:val="0"/>
          <w:numId w:val="2"/>
        </w:numPr>
        <w:spacing w:after="60" w:before="60"/>
      </w:pPr>
      <w:r>
        <w:rPr>
          <w:rFonts w:ascii="Arial" w:cs="Arial" w:eastAsia="Arial" w:hAnsi="Arial"/>
          <w:color w:val="0E0B07"/>
          <w:sz w:val="22"/>
          <w:szCs w:val="22"/>
        </w:rPr>
        <w:t xml:space="preserve">&gt;2.5: Significant divergence. One of the clearest structural differences in this pairing.</w:t>
      </w:r>
    </w:p>
    <w:p>
      <w:pPr>
        <w:spacing w:after="200" w:before="0"/>
      </w:pPr>
    </w:p>
    <w:p>
      <w:pPr>
        <w:spacing w:after="160" w:before="360"/>
      </w:pPr>
      <w:r>
        <w:rPr>
          <w:rFonts w:ascii="Arial" w:cs="Arial" w:eastAsia="Arial" w:hAnsi="Arial"/>
          <w:b/>
          <w:bCs/>
          <w:color w:val="0E0B07"/>
          <w:sz w:val="26"/>
          <w:szCs w:val="26"/>
        </w:rPr>
        <w:t xml:space="preserve">Expectations alignment</w:t>
      </w:r>
    </w:p>
    <w:p>
      <w:pPr>
        <w:spacing w:after="400" w:before="0"/>
        <w:jc w:val="left"/>
      </w:pPr>
      <w:r>
        <w:rPr>
          <w:rFonts w:ascii="Arial" w:cs="Arial" w:eastAsia="Arial" w:hAnsi="Arial"/>
          <w:b w:val="false"/>
          <w:bCs w:val="false"/>
          <w:i w:val="false"/>
          <w:iCs w:val="false"/>
          <w:color w:val="0E0B07"/>
          <w:sz w:val="22"/>
          <w:szCs w:val="22"/>
        </w:rPr>
        <w:t xml:space="preserve">For Exercise 2, alignment is calculated per item. Two answers that match exactly are counted as aligned; any mismatch is counted as a discussion topic. The results surface all mismatches directly, organized by category, with a brief framing of what the difference implies.</w:t>
      </w:r>
    </w:p>
    <w:p>
      <w:pPr>
        <w:pBdr>
          <w:bottom w:val="single" w:color="E8673A" w:sz="6"/>
        </w:pBdr>
        <w:spacing w:after="200" w:before="400"/>
      </w:pPr>
      <w:r>
        <w:rPr>
          <w:rFonts w:ascii="Arial" w:cs="Arial" w:eastAsia="Arial" w:hAnsi="Arial"/>
          <w:b/>
          <w:bCs/>
          <w:color w:val="0E0B07"/>
          <w:sz w:val="32"/>
          <w:szCs w:val="32"/>
        </w:rPr>
        <w:t xml:space="preserve">Part 4 — Couple Type Derivation</w:t>
      </w:r>
    </w:p>
    <w:p>
      <w:pPr>
        <w:spacing w:after="160" w:before="360"/>
      </w:pPr>
      <w:r>
        <w:rPr>
          <w:rFonts w:ascii="Arial" w:cs="Arial" w:eastAsia="Arial" w:hAnsi="Arial"/>
          <w:b/>
          <w:bCs/>
          <w:color w:val="0E0B07"/>
          <w:sz w:val="26"/>
          <w:szCs w:val="26"/>
        </w:rPr>
        <w:t xml:space="preserve">The 6-axis style profile (internal computation)</w:t>
      </w:r>
    </w:p>
    <w:p>
      <w:pPr>
        <w:spacing w:after="200" w:before="0"/>
        <w:jc w:val="left"/>
      </w:pPr>
      <w:r>
        <w:rPr>
          <w:rFonts w:ascii="Arial" w:cs="Arial" w:eastAsia="Arial" w:hAnsi="Arial"/>
          <w:b w:val="false"/>
          <w:bCs w:val="false"/>
          <w:i w:val="false"/>
          <w:iCs w:val="false"/>
          <w:color w:val="0E0B07"/>
          <w:sz w:val="22"/>
          <w:szCs w:val="22"/>
        </w:rPr>
        <w:t xml:space="preserve">Before the couple type is derived, each person's Exercise 1 scores are converted into a 6-character style code. This code is used only as an internal input to the couple type calculation — it is not surfaced in results. The six axes and their source dimensions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3000"/>
      </w:tblGrid>
      <w:tr>
        <w:trPr>
          <w:tblHeader/>
        </w:trPr>
        <w:tc>
          <w:tcPr>
            <w:tcW w:type="dxa" w:w="900"/>
            <w:tcBorders>
              <w:top w:val="single" w:color="E8673A" w:sz="1"/>
              <w:left w:val="single" w:color="E8673A" w:sz="1"/>
              <w:bottom w:val="single" w:color="E8673A" w:sz="1"/>
              <w:right w:val="single" w:color="E8673A" w:sz="1"/>
            </w:tcBorders>
            <w:shd w:fill="FFF0EB" w:val="clear"/>
            <w:tcMar>
              <w:top w:type="dxa" w:w="80"/>
              <w:left w:type="dxa" w:w="120"/>
              <w:bottom w:type="dxa" w:w="80"/>
              <w:right w:type="dxa" w:w="80"/>
            </w:tcMar>
          </w:tcPr>
          <w:p>
            <w:pPr>
              <w:spacing w:after="0" w:before="0"/>
            </w:pPr>
            <w:r>
              <w:rPr>
                <w:rFonts w:ascii="Arial" w:cs="Arial" w:eastAsia="Arial" w:hAnsi="Arial"/>
                <w:b/>
                <w:bCs/>
                <w:color w:val="E8673A"/>
                <w:sz w:val="18"/>
                <w:szCs w:val="18"/>
              </w:rPr>
              <w:t xml:space="preserve">Code</w:t>
            </w:r>
          </w:p>
        </w:tc>
        <w:tc>
          <w:tcPr>
            <w:tcW w:type="dxa" w:w="2200"/>
            <w:tcBorders>
              <w:top w:val="single" w:color="E8673A" w:sz="1"/>
              <w:left w:val="single" w:color="E8673A" w:sz="1"/>
              <w:bottom w:val="single" w:color="E8673A" w:sz="1"/>
              <w:right w:val="single" w:color="E8673A" w:sz="1"/>
            </w:tcBorders>
            <w:shd w:fill="FFF0EB" w:val="clear"/>
            <w:tcMar>
              <w:top w:type="dxa" w:w="80"/>
              <w:left w:type="dxa" w:w="120"/>
              <w:bottom w:type="dxa" w:w="80"/>
              <w:right w:type="dxa" w:w="80"/>
            </w:tcMar>
          </w:tcPr>
          <w:p>
            <w:pPr>
              <w:spacing w:after="0" w:before="0"/>
            </w:pPr>
            <w:r>
              <w:rPr>
                <w:rFonts w:ascii="Arial" w:cs="Arial" w:eastAsia="Arial" w:hAnsi="Arial"/>
                <w:b/>
                <w:bCs/>
                <w:color w:val="E8673A"/>
                <w:sz w:val="18"/>
                <w:szCs w:val="18"/>
              </w:rPr>
              <w:t xml:space="preserve">Source dimension(s)</w:t>
            </w:r>
          </w:p>
        </w:tc>
        <w:tc>
          <w:tcPr>
            <w:tcW w:type="dxa" w:w="3260"/>
            <w:tcBorders>
              <w:top w:val="single" w:color="E8673A" w:sz="1"/>
              <w:left w:val="single" w:color="E8673A" w:sz="1"/>
              <w:bottom w:val="single" w:color="E8673A" w:sz="1"/>
              <w:right w:val="single" w:color="E8673A" w:sz="1"/>
            </w:tcBorders>
            <w:shd w:fill="FFF0EB" w:val="clear"/>
            <w:tcMar>
              <w:top w:type="dxa" w:w="80"/>
              <w:left w:type="dxa" w:w="120"/>
              <w:bottom w:type="dxa" w:w="80"/>
              <w:right w:type="dxa" w:w="80"/>
            </w:tcMar>
          </w:tcPr>
          <w:p>
            <w:pPr>
              <w:spacing w:after="0" w:before="0"/>
            </w:pPr>
            <w:r>
              <w:rPr>
                <w:rFonts w:ascii="Arial" w:cs="Arial" w:eastAsia="Arial" w:hAnsi="Arial"/>
                <w:b/>
                <w:bCs/>
                <w:color w:val="E8673A"/>
                <w:sz w:val="18"/>
                <w:szCs w:val="18"/>
              </w:rPr>
              <w:t xml:space="preserve">Poles</w:t>
            </w:r>
          </w:p>
        </w:tc>
        <w:tc>
          <w:tcPr>
            <w:tcW w:type="dxa" w:w="3000"/>
            <w:tcBorders>
              <w:top w:val="single" w:color="E8673A" w:sz="1"/>
              <w:left w:val="single" w:color="E8673A" w:sz="1"/>
              <w:bottom w:val="single" w:color="E8673A" w:sz="1"/>
              <w:right w:val="single" w:color="E8673A" w:sz="1"/>
            </w:tcBorders>
            <w:shd w:fill="FFF0EB" w:val="clear"/>
            <w:tcMar>
              <w:top w:type="dxa" w:w="80"/>
              <w:left w:type="dxa" w:w="120"/>
              <w:bottom w:type="dxa" w:w="80"/>
              <w:right w:type="dxa" w:w="80"/>
            </w:tcMar>
          </w:tcPr>
          <w:p>
            <w:pPr>
              <w:spacing w:after="0" w:before="0"/>
            </w:pPr>
            <w:r>
              <w:rPr>
                <w:rFonts w:ascii="Arial" w:cs="Arial" w:eastAsia="Arial" w:hAnsi="Arial"/>
                <w:b/>
                <w:bCs/>
                <w:color w:val="E8673A"/>
                <w:sz w:val="18"/>
                <w:szCs w:val="18"/>
              </w:rPr>
              <w:t xml:space="preserve">Threshold</w:t>
            </w:r>
          </w:p>
        </w:tc>
      </w:tr>
      <w:tr>
        <w:tc>
          <w:tcPr>
            <w:tcW w:type="dxa" w:w="9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E / I</w:t>
            </w:r>
          </w:p>
        </w:tc>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energy</w:t>
            </w:r>
          </w:p>
        </w:tc>
        <w:tc>
          <w:tcPr>
            <w:tcW w:type="dxa" w:w="32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Outward (E) · Inward (I)</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score &gt; 3.0 = E</w:t>
            </w:r>
          </w:p>
        </w:tc>
      </w:tr>
      <w:tr>
        <w:tc>
          <w:tcPr>
            <w:tcW w:type="dxa" w:w="9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X / G</w:t>
            </w:r>
          </w:p>
        </w:tc>
        <w:tc>
          <w:tcPr>
            <w:tcW w:type="dxa" w:w="22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expression + feedback (avg)</w:t>
            </w:r>
          </w:p>
        </w:tc>
        <w:tc>
          <w:tcPr>
            <w:tcW w:type="dxa" w:w="326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Expressive (X) · Guarded (G)</w:t>
            </w:r>
          </w:p>
        </w:tc>
        <w:tc>
          <w:tcPr>
            <w:tcW w:type="dxa" w:w="30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avg &gt; 3.0 = X</w:t>
            </w:r>
          </w:p>
        </w:tc>
      </w:tr>
      <w:tr>
        <w:tc>
          <w:tcPr>
            <w:tcW w:type="dxa" w:w="9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F / S</w:t>
            </w:r>
          </w:p>
        </w:tc>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conflict</w:t>
            </w:r>
          </w:p>
        </w:tc>
        <w:tc>
          <w:tcPr>
            <w:tcW w:type="dxa" w:w="32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Fast-engage (F) · Space-first (S)</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score &lt; 3.0 = F</w:t>
            </w:r>
          </w:p>
        </w:tc>
      </w:tr>
      <w:tr>
        <w:tc>
          <w:tcPr>
            <w:tcW w:type="dxa" w:w="9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C / A</w:t>
            </w:r>
          </w:p>
        </w:tc>
        <w:tc>
          <w:tcPr>
            <w:tcW w:type="dxa" w:w="22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closeness</w:t>
            </w:r>
          </w:p>
        </w:tc>
        <w:tc>
          <w:tcPr>
            <w:tcW w:type="dxa" w:w="326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Close-seeking (C) · Autonomous (A)</w:t>
            </w:r>
          </w:p>
        </w:tc>
        <w:tc>
          <w:tcPr>
            <w:tcW w:type="dxa" w:w="30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score &gt; 3.0 = C</w:t>
            </w:r>
          </w:p>
        </w:tc>
      </w:tr>
      <w:tr>
        <w:tc>
          <w:tcPr>
            <w:tcW w:type="dxa" w:w="9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D / H</w:t>
            </w:r>
          </w:p>
        </w:tc>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needs</w:t>
            </w:r>
          </w:p>
        </w:tc>
        <w:tc>
          <w:tcPr>
            <w:tcW w:type="dxa" w:w="32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Direct (D) · Indirect (H)</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score &gt; 3.0 = D</w:t>
            </w:r>
          </w:p>
        </w:tc>
      </w:tr>
      <w:tr>
        <w:tc>
          <w:tcPr>
            <w:tcW w:type="dxa" w:w="9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bCs/>
                <w:color w:val="0E0B07"/>
                <w:sz w:val="18"/>
                <w:szCs w:val="18"/>
              </w:rPr>
              <w:t xml:space="preserve">Q / T</w:t>
            </w:r>
          </w:p>
        </w:tc>
        <w:tc>
          <w:tcPr>
            <w:tcW w:type="dxa" w:w="22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repair</w:t>
            </w:r>
          </w:p>
        </w:tc>
        <w:tc>
          <w:tcPr>
            <w:tcW w:type="dxa" w:w="326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Gesture-led (Q) · Talk-through (T)</w:t>
            </w:r>
          </w:p>
        </w:tc>
        <w:tc>
          <w:tcPr>
            <w:tcW w:type="dxa" w:w="3000"/>
            <w:tcBorders>
              <w:top w:val="single" w:color="E8DDD0" w:sz="1"/>
              <w:left w:val="single" w:color="E8DDD0" w:sz="1"/>
              <w:bottom w:val="single" w:color="E8DDD0" w:sz="1"/>
              <w:right w:val="single" w:color="E8DDD0" w:sz="1"/>
            </w:tcBorders>
            <w:shd w:fill="FBF8F3" w:val="clear"/>
            <w:tcMar>
              <w:top w:type="dxa" w:w="80"/>
              <w:left w:type="dxa" w:w="120"/>
              <w:bottom w:type="dxa" w:w="80"/>
              <w:right w:type="dxa" w:w="80"/>
            </w:tcMar>
          </w:tcPr>
          <w:p>
            <w:pPr>
              <w:spacing w:after="0" w:before="0"/>
            </w:pPr>
            <w:r>
              <w:rPr>
                <w:rFonts w:ascii="Arial" w:cs="Arial" w:eastAsia="Arial" w:hAnsi="Arial"/>
                <w:b w:val="false"/>
                <w:bCs w:val="false"/>
                <w:color w:val="0E0B07"/>
                <w:sz w:val="18"/>
                <w:szCs w:val="18"/>
              </w:rPr>
              <w:t xml:space="preserve">score &lt; 3.0 = Q</w:t>
            </w:r>
          </w:p>
        </w:tc>
      </w:tr>
    </w:tbl>
    <w:p>
      <w:pPr>
        <w:spacing w:after="200" w:before="0"/>
      </w:pPr>
    </w:p>
    <w:p>
      <w:pPr>
        <w:spacing w:after="400" w:before="0"/>
        <w:jc w:val="left"/>
      </w:pPr>
      <w:r>
        <w:rPr>
          <w:rFonts w:ascii="Arial" w:cs="Arial" w:eastAsia="Arial" w:hAnsi="Arial"/>
          <w:b w:val="false"/>
          <w:bCs w:val="false"/>
          <w:i w:val="false"/>
          <w:iCs w:val="false"/>
          <w:color w:val="0E0B07"/>
          <w:sz w:val="22"/>
          <w:szCs w:val="22"/>
        </w:rPr>
        <w:t xml:space="preserve">These six axes were selected because they represent the most behaviorally stable and relationally significant orientations from the ten dimensions. They are designed to produce a meaningfully distributed profile across a large population of couples, rather than clustering most pairs in one or two common configurations.</w:t>
      </w:r>
    </w:p>
    <w:p>
      <w:pPr>
        <w:spacing w:after="160" w:before="360"/>
      </w:pPr>
      <w:r>
        <w:rPr>
          <w:rFonts w:ascii="Arial" w:cs="Arial" w:eastAsia="Arial" w:hAnsi="Arial"/>
          <w:b/>
          <w:bCs/>
          <w:color w:val="0E0B07"/>
          <w:sz w:val="26"/>
          <w:szCs w:val="26"/>
        </w:rPr>
        <w:t xml:space="preserve">Type signature matching</w:t>
      </w:r>
    </w:p>
    <w:p>
      <w:pPr>
        <w:spacing w:after="160" w:before="0"/>
        <w:jc w:val="left"/>
      </w:pPr>
      <w:r>
        <w:rPr>
          <w:rFonts w:ascii="Arial" w:cs="Arial" w:eastAsia="Arial" w:hAnsi="Arial"/>
          <w:b w:val="false"/>
          <w:bCs w:val="false"/>
          <w:i w:val="false"/>
          <w:iCs w:val="false"/>
          <w:color w:val="0E0B07"/>
          <w:sz w:val="22"/>
          <w:szCs w:val="22"/>
        </w:rPr>
        <w:t xml:space="preserve">Attune has 25 couple types. Each type has a characteristic profile across all ten communication dimensions — a pattern of gaps, shared orientations, and specific dimensional tendencies that distinguish it from others.</w:t>
      </w:r>
    </w:p>
    <w:p>
      <w:pPr>
        <w:spacing w:after="160" w:before="0"/>
        <w:jc w:val="left"/>
      </w:pPr>
      <w:r>
        <w:rPr>
          <w:rFonts w:ascii="Arial" w:cs="Arial" w:eastAsia="Arial" w:hAnsi="Arial"/>
          <w:b w:val="false"/>
          <w:bCs w:val="false"/>
          <w:i w:val="false"/>
          <w:iCs w:val="false"/>
          <w:color w:val="0E0B07"/>
          <w:sz w:val="22"/>
          <w:szCs w:val="22"/>
        </w:rPr>
        <w:t xml:space="preserve">Rather than assigning a type via a fixed decision tree, the system computes a match score for each type by comparing the couple's actual dimension scores against each type's signature profile. The type with the highest match score is assigned.</w:t>
      </w:r>
    </w:p>
    <w:p>
      <w:pPr>
        <w:spacing w:after="200" w:before="0"/>
        <w:jc w:val="left"/>
      </w:pPr>
      <w:r>
        <w:rPr>
          <w:rFonts w:ascii="Arial" w:cs="Arial" w:eastAsia="Arial" w:hAnsi="Arial"/>
          <w:b w:val="false"/>
          <w:bCs w:val="false"/>
          <w:i w:val="false"/>
          <w:iCs w:val="false"/>
          <w:color w:val="0E0B07"/>
          <w:sz w:val="22"/>
          <w:szCs w:val="22"/>
        </w:rPr>
        <w:t xml:space="preserve">This means the couple type reflects the full picture of both partners' scores across all ten dimensions — not just the most extreme gap or a single dominant axis. It also means that types are naturally distributed: there is no dominant bucket that captures most couples.</w:t>
      </w:r>
    </w:p>
    <w:p>
      <w:pPr>
        <w:spacing w:after="160" w:before="360"/>
      </w:pPr>
      <w:r>
        <w:rPr>
          <w:rFonts w:ascii="Arial" w:cs="Arial" w:eastAsia="Arial" w:hAnsi="Arial"/>
          <w:b/>
          <w:bCs/>
          <w:color w:val="0E0B07"/>
          <w:sz w:val="26"/>
          <w:szCs w:val="26"/>
        </w:rPr>
        <w:t xml:space="preserve">Supplementary typing questions</w:t>
      </w:r>
    </w:p>
    <w:p>
      <w:pPr>
        <w:spacing w:after="160" w:before="0"/>
        <w:jc w:val="left"/>
      </w:pPr>
      <w:r>
        <w:rPr>
          <w:rFonts w:ascii="Arial" w:cs="Arial" w:eastAsia="Arial" w:hAnsi="Arial"/>
          <w:b w:val="false"/>
          <w:bCs w:val="false"/>
          <w:i w:val="false"/>
          <w:iCs w:val="false"/>
          <w:color w:val="0E0B07"/>
          <w:sz w:val="22"/>
          <w:szCs w:val="22"/>
        </w:rPr>
        <w:t xml:space="preserve">The 15 couple-level typing questions (Exercise 1 appendix) ask about the relationship as a unit: how conflict plays out, what repair looks like, how closeness and independence are balanced. When answered, these act as confirmatory signals that can sharpen or adjust the type assigned by dimension scores alone.</w:t>
      </w:r>
    </w:p>
    <w:p>
      <w:pPr>
        <w:spacing w:after="400" w:before="0"/>
        <w:jc w:val="left"/>
      </w:pPr>
      <w:r>
        <w:rPr>
          <w:rFonts w:ascii="Arial" w:cs="Arial" w:eastAsia="Arial" w:hAnsi="Arial"/>
          <w:b w:val="false"/>
          <w:bCs w:val="false"/>
          <w:i w:val="false"/>
          <w:iCs w:val="false"/>
          <w:color w:val="0E0B07"/>
          <w:sz w:val="22"/>
          <w:szCs w:val="22"/>
        </w:rPr>
        <w:t xml:space="preserve">The typing questions do not override the score-based derivation on their own. They add weight in specific directions — if typing answers strongly suggest a pattern that dimension scores partially support, the type that fits both signals wins.</w:t>
      </w:r>
    </w:p>
    <w:p>
      <w:pPr>
        <w:pBdr>
          <w:bottom w:val="single" w:color="E8673A" w:sz="6"/>
        </w:pBdr>
        <w:spacing w:after="200" w:before="400"/>
      </w:pPr>
      <w:r>
        <w:rPr>
          <w:rFonts w:ascii="Arial" w:cs="Arial" w:eastAsia="Arial" w:hAnsi="Arial"/>
          <w:b/>
          <w:bCs/>
          <w:color w:val="0E0B07"/>
          <w:sz w:val="32"/>
          <w:szCs w:val="32"/>
        </w:rPr>
        <w:t xml:space="preserve">Part 5 — Limitations</w:t>
      </w:r>
    </w:p>
    <w:p>
      <w:pPr>
        <w:spacing w:after="120" w:before="240"/>
      </w:pPr>
      <w:r>
        <w:rPr>
          <w:rFonts w:ascii="Arial" w:cs="Arial" w:eastAsia="Arial" w:hAnsi="Arial"/>
          <w:b/>
          <w:bCs/>
          <w:color w:val="6B5030"/>
          <w:sz w:val="22"/>
          <w:szCs w:val="22"/>
        </w:rPr>
        <w:t xml:space="preserve">Self-report</w:t>
      </w:r>
    </w:p>
    <w:p>
      <w:pPr>
        <w:spacing w:after="200" w:before="0"/>
        <w:jc w:val="left"/>
      </w:pPr>
      <w:r>
        <w:rPr>
          <w:rFonts w:ascii="Arial" w:cs="Arial" w:eastAsia="Arial" w:hAnsi="Arial"/>
          <w:b w:val="false"/>
          <w:bCs w:val="false"/>
          <w:i w:val="false"/>
          <w:iCs w:val="false"/>
          <w:color w:val="0E0B07"/>
          <w:sz w:val="22"/>
          <w:szCs w:val="22"/>
        </w:rPr>
        <w:t xml:space="preserve">All of Attune's measurements are based on self-report. People answer questions about their own behavior, which means the accuracy of results depends on the accuracy of self-perception. Most people have meaningful blind spots about their own patterns, particularly under stress.</w:t>
      </w:r>
    </w:p>
    <w:p>
      <w:pPr>
        <w:spacing w:after="120" w:before="240"/>
      </w:pPr>
      <w:r>
        <w:rPr>
          <w:rFonts w:ascii="Arial" w:cs="Arial" w:eastAsia="Arial" w:hAnsi="Arial"/>
          <w:b/>
          <w:bCs/>
          <w:color w:val="6B5030"/>
          <w:sz w:val="22"/>
          <w:szCs w:val="22"/>
        </w:rPr>
        <w:t xml:space="preserve">Behavioral stability</w:t>
      </w:r>
    </w:p>
    <w:p>
      <w:pPr>
        <w:spacing w:after="200" w:before="0"/>
        <w:jc w:val="left"/>
      </w:pPr>
      <w:r>
        <w:rPr>
          <w:rFonts w:ascii="Arial" w:cs="Arial" w:eastAsia="Arial" w:hAnsi="Arial"/>
          <w:b w:val="false"/>
          <w:bCs w:val="false"/>
          <w:i w:val="false"/>
          <w:iCs w:val="false"/>
          <w:color w:val="0E0B07"/>
          <w:sz w:val="22"/>
          <w:szCs w:val="22"/>
        </w:rPr>
        <w:t xml:space="preserve">Communication patterns are more stable than many people expect, but they do shift — with age, with major life transitions, with sustained effort. Attune's results reflect a snapshot of how two people communicate now, not a permanent structural truth.</w:t>
      </w:r>
    </w:p>
    <w:p>
      <w:pPr>
        <w:spacing w:after="120" w:before="240"/>
      </w:pPr>
      <w:r>
        <w:rPr>
          <w:rFonts w:ascii="Arial" w:cs="Arial" w:eastAsia="Arial" w:hAnsi="Arial"/>
          <w:b/>
          <w:bCs/>
          <w:color w:val="6B5030"/>
          <w:sz w:val="22"/>
          <w:szCs w:val="22"/>
        </w:rPr>
        <w:t xml:space="preserve">Axis thresholds</w:t>
      </w:r>
    </w:p>
    <w:p>
      <w:pPr>
        <w:spacing w:after="200" w:before="0"/>
        <w:jc w:val="left"/>
      </w:pPr>
      <w:r>
        <w:rPr>
          <w:rFonts w:ascii="Arial" w:cs="Arial" w:eastAsia="Arial" w:hAnsi="Arial"/>
          <w:b w:val="false"/>
          <w:bCs w:val="false"/>
          <w:i w:val="false"/>
          <w:iCs w:val="false"/>
          <w:color w:val="0E0B07"/>
          <w:sz w:val="22"/>
          <w:szCs w:val="22"/>
        </w:rPr>
        <w:t xml:space="preserve">The cutoffs used to convert dimension scores into axis designations (e.g., energy &gt; 3.0 = Outward) are based on scale construction logic, not a normative validation sample. As Attune accumulates response data, quantile-based thresholds calibrated to the actual distribution will improve precision.</w:t>
      </w:r>
    </w:p>
    <w:p>
      <w:pPr>
        <w:spacing w:after="120" w:before="240"/>
      </w:pPr>
      <w:r>
        <w:rPr>
          <w:rFonts w:ascii="Arial" w:cs="Arial" w:eastAsia="Arial" w:hAnsi="Arial"/>
          <w:b/>
          <w:bCs/>
          <w:color w:val="6B5030"/>
          <w:sz w:val="22"/>
          <w:szCs w:val="22"/>
        </w:rPr>
        <w:t xml:space="preserve">Type boundaries</w:t>
      </w:r>
    </w:p>
    <w:p>
      <w:pPr>
        <w:spacing w:after="200" w:before="0"/>
        <w:jc w:val="left"/>
      </w:pPr>
      <w:r>
        <w:rPr>
          <w:rFonts w:ascii="Arial" w:cs="Arial" w:eastAsia="Arial" w:hAnsi="Arial"/>
          <w:b w:val="false"/>
          <w:bCs w:val="false"/>
          <w:i w:val="false"/>
          <w:iCs w:val="false"/>
          <w:color w:val="0E0B07"/>
          <w:sz w:val="22"/>
          <w:szCs w:val="22"/>
        </w:rPr>
        <w:t xml:space="preserve">The 25 types are named patterns, not fixed categories. Couples near a boundary between two types may be accurately described by both. The type label is a starting point for conversation, not a permanent classification.</w:t>
      </w:r>
    </w:p>
    <w:p>
      <w:pPr>
        <w:spacing w:after="120" w:before="240"/>
      </w:pPr>
      <w:r>
        <w:rPr>
          <w:rFonts w:ascii="Arial" w:cs="Arial" w:eastAsia="Arial" w:hAnsi="Arial"/>
          <w:b/>
          <w:bCs/>
          <w:color w:val="6B5030"/>
          <w:sz w:val="22"/>
          <w:szCs w:val="22"/>
        </w:rPr>
        <w:t xml:space="preserve">Retake variation</w:t>
      </w:r>
    </w:p>
    <w:p>
      <w:pPr>
        <w:spacing w:after="200" w:before="0"/>
        <w:jc w:val="left"/>
      </w:pPr>
      <w:r>
        <w:rPr>
          <w:rFonts w:ascii="Arial" w:cs="Arial" w:eastAsia="Arial" w:hAnsi="Arial"/>
          <w:b w:val="false"/>
          <w:bCs w:val="false"/>
          <w:i w:val="false"/>
          <w:iCs w:val="false"/>
          <w:color w:val="0E0B07"/>
          <w:sz w:val="22"/>
          <w:szCs w:val="22"/>
        </w:rPr>
        <w:t xml:space="preserve">Small changes in answers between sessions can shift type assignments for couples near a type boundary. Attune is most reliable when both partners complete it honestly and independently in one sitting. It is not designed for granular change tracking over short intervals.</w:t>
      </w:r>
    </w:p>
    <w:p>
      <w:pPr>
        <w:spacing w:after="120" w:before="240"/>
      </w:pPr>
      <w:r>
        <w:rPr>
          <w:rFonts w:ascii="Arial" w:cs="Arial" w:eastAsia="Arial" w:hAnsi="Arial"/>
          <w:b/>
          <w:bCs/>
          <w:color w:val="6B5030"/>
          <w:sz w:val="22"/>
          <w:szCs w:val="22"/>
        </w:rPr>
        <w:t xml:space="preserve">Cultural scope</w:t>
      </w:r>
    </w:p>
    <w:p>
      <w:pPr>
        <w:spacing w:after="200" w:before="0"/>
        <w:jc w:val="left"/>
      </w:pPr>
      <w:r>
        <w:rPr>
          <w:rFonts w:ascii="Arial" w:cs="Arial" w:eastAsia="Arial" w:hAnsi="Arial"/>
          <w:b w:val="false"/>
          <w:bCs w:val="false"/>
          <w:i w:val="false"/>
          <w:iCs w:val="false"/>
          <w:color w:val="0E0B07"/>
          <w:sz w:val="22"/>
          <w:szCs w:val="22"/>
        </w:rPr>
        <w:t xml:space="preserve">The research literature underlying Attune's measurement system comes largely from Western, English-speaking populations. Emotional expression norms, attachment behavior, conflict engagement patterns, and closeness orientation all show documented cross-cultural variation. Attune's axis labels and type descriptions should be treated as culturally situated, not universal.</w:t>
      </w:r>
    </w:p>
    <w:p>
      <w:pPr>
        <w:spacing w:after="120" w:before="240"/>
      </w:pPr>
      <w:r>
        <w:rPr>
          <w:rFonts w:ascii="Arial" w:cs="Arial" w:eastAsia="Arial" w:hAnsi="Arial"/>
          <w:b/>
          <w:bCs/>
          <w:color w:val="6B5030"/>
          <w:sz w:val="22"/>
          <w:szCs w:val="22"/>
        </w:rPr>
        <w:t xml:space="preserve">Not a clinical tool</w:t>
      </w:r>
    </w:p>
    <w:p>
      <w:pPr>
        <w:spacing w:after="400" w:before="0"/>
        <w:jc w:val="left"/>
      </w:pPr>
      <w:r>
        <w:rPr>
          <w:rFonts w:ascii="Arial" w:cs="Arial" w:eastAsia="Arial" w:hAnsi="Arial"/>
          <w:b w:val="false"/>
          <w:bCs w:val="false"/>
          <w:i w:val="false"/>
          <w:iCs w:val="false"/>
          <w:color w:val="0E0B07"/>
          <w:sz w:val="22"/>
          <w:szCs w:val="22"/>
        </w:rPr>
        <w:t xml:space="preserve">Attune is not a substitute for couples therapy, and results do not constitute clinical assessment. If a couple is dealing with serious relational distress, trauma, or other clinical concerns, a licensed couples therapist is the appropriate resource. Attune results can be useful context for a therapist, but they are not a clinical assessment.</w:t>
      </w:r>
    </w:p>
    <w:p>
      <w:pPr>
        <w:pBdr>
          <w:bottom w:val="single" w:color="E8673A" w:sz="6"/>
        </w:pBdr>
        <w:spacing w:after="200" w:before="400"/>
      </w:pPr>
      <w:r>
        <w:rPr>
          <w:rFonts w:ascii="Arial" w:cs="Arial" w:eastAsia="Arial" w:hAnsi="Arial"/>
          <w:b/>
          <w:bCs/>
          <w:color w:val="0E0B07"/>
          <w:sz w:val="32"/>
          <w:szCs w:val="32"/>
        </w:rPr>
        <w:t xml:space="preserve">References</w:t>
      </w:r>
    </w:p>
    <w:p>
      <w:pPr>
        <w:spacing w:after="80" w:before="0"/>
        <w:jc w:val="left"/>
      </w:pPr>
      <w:r>
        <w:rPr>
          <w:rFonts w:ascii="Arial" w:cs="Arial" w:eastAsia="Arial" w:hAnsi="Arial"/>
          <w:b w:val="false"/>
          <w:bCs w:val="false"/>
          <w:i w:val="false"/>
          <w:iCs w:val="false"/>
          <w:color w:val="0E0B07"/>
          <w:sz w:val="22"/>
          <w:szCs w:val="22"/>
        </w:rPr>
        <w:t xml:space="preserve">Baucom, B. R., et al. (2015). Prediction of treatment response from pre-treatment physiological arousal in couples therapy. Journal of Consulting and Clinical Psychology.</w:t>
      </w:r>
    </w:p>
    <w:p>
      <w:pPr>
        <w:spacing w:after="80" w:before="0"/>
        <w:jc w:val="left"/>
      </w:pPr>
      <w:r>
        <w:rPr>
          <w:rFonts w:ascii="Arial" w:cs="Arial" w:eastAsia="Arial" w:hAnsi="Arial"/>
          <w:b w:val="false"/>
          <w:bCs w:val="false"/>
          <w:i w:val="false"/>
          <w:iCs w:val="false"/>
          <w:color w:val="0E0B07"/>
          <w:sz w:val="22"/>
          <w:szCs w:val="22"/>
        </w:rPr>
        <w:t xml:space="preserve">Baucom, D. H., &amp; Epstein, N. B. (2002). Enhanced cognitive-behavioral therapy for couples. American Psychological Association.</w:t>
      </w:r>
    </w:p>
    <w:p>
      <w:pPr>
        <w:spacing w:after="80" w:before="0"/>
        <w:jc w:val="left"/>
      </w:pPr>
      <w:r>
        <w:rPr>
          <w:rFonts w:ascii="Arial" w:cs="Arial" w:eastAsia="Arial" w:hAnsi="Arial"/>
          <w:b w:val="false"/>
          <w:bCs w:val="false"/>
          <w:i w:val="false"/>
          <w:iCs w:val="false"/>
          <w:color w:val="0E0B07"/>
          <w:sz w:val="22"/>
          <w:szCs w:val="22"/>
        </w:rPr>
        <w:t xml:space="preserve">Bodenmann, G. (2005). Dyadic coping and its significance for marital functioning. In Revenson et al. (Eds.), Couples coping with stress. APA.</w:t>
      </w:r>
    </w:p>
    <w:p>
      <w:pPr>
        <w:spacing w:after="80" w:before="0"/>
        <w:jc w:val="left"/>
      </w:pPr>
      <w:r>
        <w:rPr>
          <w:rFonts w:ascii="Arial" w:cs="Arial" w:eastAsia="Arial" w:hAnsi="Arial"/>
          <w:b w:val="false"/>
          <w:bCs w:val="false"/>
          <w:i w:val="false"/>
          <w:iCs w:val="false"/>
          <w:color w:val="0E0B07"/>
          <w:sz w:val="22"/>
          <w:szCs w:val="22"/>
        </w:rPr>
        <w:t xml:space="preserve">Bowlby, J. (1969). Attachment and loss, Vol. 1. Basic Books.</w:t>
      </w:r>
    </w:p>
    <w:p>
      <w:pPr>
        <w:spacing w:after="80" w:before="0"/>
        <w:jc w:val="left"/>
      </w:pPr>
      <w:r>
        <w:rPr>
          <w:rFonts w:ascii="Arial" w:cs="Arial" w:eastAsia="Arial" w:hAnsi="Arial"/>
          <w:b w:val="false"/>
          <w:bCs w:val="false"/>
          <w:i w:val="false"/>
          <w:iCs w:val="false"/>
          <w:color w:val="0E0B07"/>
          <w:sz w:val="22"/>
          <w:szCs w:val="22"/>
        </w:rPr>
        <w:t xml:space="preserve">Chapman, G. (1992). The five love languages. Northfield Publishing.</w:t>
      </w:r>
    </w:p>
    <w:p>
      <w:pPr>
        <w:spacing w:after="80" w:before="0"/>
        <w:jc w:val="left"/>
      </w:pPr>
      <w:r>
        <w:rPr>
          <w:rFonts w:ascii="Arial" w:cs="Arial" w:eastAsia="Arial" w:hAnsi="Arial"/>
          <w:b w:val="false"/>
          <w:bCs w:val="false"/>
          <w:i w:val="false"/>
          <w:iCs w:val="false"/>
          <w:color w:val="0E0B07"/>
          <w:sz w:val="22"/>
          <w:szCs w:val="22"/>
        </w:rPr>
        <w:t xml:space="preserve">DePaulo, B. M., &amp; Kashy, D. A. (1998). Everyday lies in close and casual relationships. Journal of Personality and Social Psychology, 74(1), 63–79.</w:t>
      </w:r>
    </w:p>
    <w:p>
      <w:pPr>
        <w:spacing w:after="80" w:before="0"/>
        <w:jc w:val="left"/>
      </w:pPr>
      <w:r>
        <w:rPr>
          <w:rFonts w:ascii="Arial" w:cs="Arial" w:eastAsia="Arial" w:hAnsi="Arial"/>
          <w:b w:val="false"/>
          <w:bCs w:val="false"/>
          <w:i w:val="false"/>
          <w:iCs w:val="false"/>
          <w:color w:val="0E0B07"/>
          <w:sz w:val="22"/>
          <w:szCs w:val="22"/>
        </w:rPr>
        <w:t xml:space="preserve">Eysenck, H. J. (1967). The biological basis of personality. Thomas.</w:t>
      </w:r>
    </w:p>
    <w:p>
      <w:pPr>
        <w:spacing w:after="80" w:before="0"/>
        <w:jc w:val="left"/>
      </w:pPr>
      <w:r>
        <w:rPr>
          <w:rFonts w:ascii="Arial" w:cs="Arial" w:eastAsia="Arial" w:hAnsi="Arial"/>
          <w:b w:val="false"/>
          <w:bCs w:val="false"/>
          <w:i w:val="false"/>
          <w:iCs w:val="false"/>
          <w:color w:val="0E0B07"/>
          <w:sz w:val="22"/>
          <w:szCs w:val="22"/>
        </w:rPr>
        <w:t xml:space="preserve">Gottman, J. M. (1994). What predicts divorce. Lawrence Erlbaum Associates.</w:t>
      </w:r>
    </w:p>
    <w:p>
      <w:pPr>
        <w:spacing w:after="80" w:before="0"/>
        <w:jc w:val="left"/>
      </w:pPr>
      <w:r>
        <w:rPr>
          <w:rFonts w:ascii="Arial" w:cs="Arial" w:eastAsia="Arial" w:hAnsi="Arial"/>
          <w:b w:val="false"/>
          <w:bCs w:val="false"/>
          <w:i w:val="false"/>
          <w:iCs w:val="false"/>
          <w:color w:val="0E0B07"/>
          <w:sz w:val="22"/>
          <w:szCs w:val="22"/>
        </w:rPr>
        <w:t xml:space="preserve">Gottman, J. M. (2001). The relationship cure. Crown Publishers.</w:t>
      </w:r>
    </w:p>
    <w:p>
      <w:pPr>
        <w:spacing w:after="80" w:before="0"/>
        <w:jc w:val="left"/>
      </w:pPr>
      <w:r>
        <w:rPr>
          <w:rFonts w:ascii="Arial" w:cs="Arial" w:eastAsia="Arial" w:hAnsi="Arial"/>
          <w:b w:val="false"/>
          <w:bCs w:val="false"/>
          <w:i w:val="false"/>
          <w:iCs w:val="false"/>
          <w:color w:val="0E0B07"/>
          <w:sz w:val="22"/>
          <w:szCs w:val="22"/>
        </w:rPr>
        <w:t xml:space="preserve">Gottman, J. M., &amp; Levenson, R. W. (1992). Marital processes predictive of later dissolution. Journal of Personality and Social Psychology, 63(2), 221–233.</w:t>
      </w:r>
    </w:p>
    <w:p>
      <w:pPr>
        <w:spacing w:after="80" w:before="0"/>
        <w:jc w:val="left"/>
      </w:pPr>
      <w:r>
        <w:rPr>
          <w:rFonts w:ascii="Arial" w:cs="Arial" w:eastAsia="Arial" w:hAnsi="Arial"/>
          <w:b w:val="false"/>
          <w:bCs w:val="false"/>
          <w:i w:val="false"/>
          <w:iCs w:val="false"/>
          <w:color w:val="0E0B07"/>
          <w:sz w:val="22"/>
          <w:szCs w:val="22"/>
        </w:rPr>
        <w:t xml:space="preserve">Gottman, J. M., &amp; Silver, N. (1999). The seven principles for making marriage work. Crown Publishers.</w:t>
      </w:r>
    </w:p>
    <w:p>
      <w:pPr>
        <w:spacing w:after="80" w:before="0"/>
        <w:jc w:val="left"/>
      </w:pPr>
      <w:r>
        <w:rPr>
          <w:rFonts w:ascii="Arial" w:cs="Arial" w:eastAsia="Arial" w:hAnsi="Arial"/>
          <w:b w:val="false"/>
          <w:bCs w:val="false"/>
          <w:i w:val="false"/>
          <w:iCs w:val="false"/>
          <w:color w:val="0E0B07"/>
          <w:sz w:val="22"/>
          <w:szCs w:val="22"/>
        </w:rPr>
        <w:t xml:space="preserve">Markman, H. J., Stanley, S. M., &amp; Blumberg, S. L. (2010). Fighting for your marriage. Jossey-Bass.</w:t>
      </w:r>
    </w:p>
    <w:p>
      <w:pPr>
        <w:spacing w:after="80" w:before="0"/>
        <w:jc w:val="left"/>
      </w:pPr>
      <w:r>
        <w:rPr>
          <w:rFonts w:ascii="Arial" w:cs="Arial" w:eastAsia="Arial" w:hAnsi="Arial"/>
          <w:b w:val="false"/>
          <w:bCs w:val="false"/>
          <w:i w:val="false"/>
          <w:iCs w:val="false"/>
          <w:color w:val="0E0B07"/>
          <w:sz w:val="22"/>
          <w:szCs w:val="22"/>
        </w:rPr>
        <w:t xml:space="preserve">Mikulincer, M., &amp; Shaver, P. R. (2007). Attachment in adulthood: Structure, dynamics, and change. Guilford Press.</w:t>
      </w:r>
    </w:p>
    <w:p>
      <w:pPr>
        <w:spacing w:after="80" w:before="0"/>
        <w:jc w:val="left"/>
      </w:pPr>
      <w:r>
        <w:rPr>
          <w:rFonts w:ascii="Arial" w:cs="Arial" w:eastAsia="Arial" w:hAnsi="Arial"/>
          <w:b w:val="false"/>
          <w:bCs w:val="false"/>
          <w:i w:val="false"/>
          <w:iCs w:val="false"/>
          <w:color w:val="0E0B07"/>
          <w:sz w:val="22"/>
          <w:szCs w:val="22"/>
        </w:rPr>
        <w:t xml:space="preserve">Pennebaker, J. W. (1997). Opening up: The healing power of expressing emotions. Guilford Press.</w:t>
      </w:r>
    </w:p>
    <w:p>
      <w:pPr>
        <w:spacing w:after="80" w:before="0"/>
        <w:jc w:val="left"/>
      </w:pPr>
      <w:r>
        <w:rPr>
          <w:rFonts w:ascii="Arial" w:cs="Arial" w:eastAsia="Arial" w:hAnsi="Arial"/>
          <w:b w:val="false"/>
          <w:bCs w:val="false"/>
          <w:i w:val="false"/>
          <w:iCs w:val="false"/>
          <w:color w:val="0E0B07"/>
          <w:sz w:val="22"/>
          <w:szCs w:val="22"/>
        </w:rPr>
        <w:t xml:space="preserve">Reis, H. T., &amp; Shaver, P. (1988). Intimacy as an interpersonal process. In S. Duck (Ed.), Handbook of personal relationships. Wiley.</w:t>
      </w:r>
    </w:p>
    <w:p>
      <w:pPr>
        <w:spacing w:after="80" w:before="0"/>
        <w:jc w:val="left"/>
      </w:pPr>
      <w:r>
        <w:rPr>
          <w:rFonts w:ascii="Arial" w:cs="Arial" w:eastAsia="Arial" w:hAnsi="Arial"/>
          <w:b w:val="false"/>
          <w:bCs w:val="false"/>
          <w:i w:val="false"/>
          <w:iCs w:val="false"/>
          <w:color w:val="0E0B07"/>
          <w:sz w:val="22"/>
          <w:szCs w:val="22"/>
        </w:rPr>
        <w:t xml:space="preserve">Taylor, S. E., et al. (2000). Biobehavioral responses to stress in females. Psychological Review, 107(3), 411–429.</w:t>
      </w:r>
    </w:p>
    <w:p>
      <w:pPr>
        <w:spacing w:after="600" w:before="0"/>
      </w:pPr>
    </w:p>
    <w:p>
      <w:pPr>
        <w:spacing w:after="160" w:before="0"/>
        <w:jc w:val="center"/>
      </w:pPr>
      <w:r>
        <w:rPr>
          <w:rFonts w:ascii="Arial" w:cs="Arial" w:eastAsia="Arial" w:hAnsi="Arial"/>
          <w:b w:val="false"/>
          <w:bCs w:val="false"/>
          <w:i w:val="false"/>
          <w:iCs w:val="false"/>
          <w:color w:val="6B5030"/>
          <w:sz w:val="18"/>
          <w:szCs w:val="18"/>
        </w:rPr>
        <w:t xml:space="preserve">Attune Relationships™  ·  attune-relationships.com  ·  hello@attune-relationships.com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DD0" w:sz="4"/>
      </w:pBdr>
      <w:spacing w:after="0" w:before="120"/>
      <w:jc w:val="center"/>
    </w:pPr>
    <w:r>
      <w:rPr>
        <w:rFonts w:ascii="Arial" w:cs="Arial" w:eastAsia="Arial" w:hAnsi="Arial"/>
        <w:color w:val="6B5030"/>
        <w:sz w:val="16"/>
        <w:szCs w:val="16"/>
      </w:rPr>
      <w:t xml:space="preserve">attune-relationships.com</w:t>
    </w:r>
    <w:r>
      <w:rPr>
        <w:rFonts w:ascii="Arial" w:cs="Arial" w:eastAsia="Arial" w:hAnsi="Arial"/>
        <w:color w:val="E8DDD0"/>
        <w:sz w:val="16"/>
        <w:szCs w:val="16"/>
      </w:rPr>
      <w:t xml:space="preserve">   ·   v02   ·   </w:t>
    </w:r>
    <w:r>
      <w:rPr>
        <w:rFonts w:ascii="Arial" w:cs="Arial" w:eastAsia="Arial" w:hAnsi="Arial"/>
        <w:color w:val="6B5030"/>
        <w:sz w:val="16"/>
        <w:szCs w:val="16"/>
      </w:rPr>
      <w:t xml:space="preserve">hello@attune-relationships.com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DD0" w:sz="4"/>
      </w:pBdr>
      <w:spacing w:after="120" w:before="0"/>
    </w:pPr>
    <w:r>
      <w:rPr>
        <w:rFonts w:ascii="Arial" w:cs="Arial" w:eastAsia="Arial" w:hAnsi="Arial"/>
        <w:b/>
        <w:bCs/>
        <w:color w:val="E8673A"/>
        <w:sz w:val="18"/>
        <w:szCs w:val="18"/>
      </w:rPr>
      <w:t xml:space="preserve">Attune</w:t>
    </w:r>
    <w:r>
      <w:rPr>
        <w:rFonts w:ascii="Arial" w:cs="Arial" w:eastAsia="Arial" w:hAnsi="Arial"/>
        <w:color w:val="6B5030"/>
        <w:sz w:val="18"/>
        <w:szCs w:val="18"/>
      </w:rPr>
      <w:t xml:space="preserve">  ·  How It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2026-03-25T22:21:28.905Z</dcterms:created>
  <dcterms:modified xsi:type="dcterms:W3CDTF">2026-03-25T22:21:28.906Z</dcterms:modified>
</cp:coreProperties>
</file>

<file path=docProps/custom.xml><?xml version="1.0" encoding="utf-8"?>
<Properties xmlns="http://schemas.openxmlformats.org/officeDocument/2006/custom-properties" xmlns:vt="http://schemas.openxmlformats.org/officeDocument/2006/docPropsVTypes"/>
</file>