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E8673A"/>
          <w:sz w:val="48"/>
          <w:szCs w:val="48"/>
        </w:rPr>
        <w:t xml:space="preserve">ATTUNE</w:t>
      </w:r>
    </w:p>
    <w:p>
      <w:pPr>
        <w:spacing w:after="60" w:before="0"/>
      </w:pPr>
      <w:r>
        <w:rPr>
          <w:rFonts w:ascii="Arial" w:cs="Arial" w:eastAsia="Arial" w:hAnsi="Arial"/>
          <w:b/>
          <w:bCs/>
          <w:color w:val="0E0B07"/>
          <w:sz w:val="36"/>
          <w:szCs w:val="36"/>
        </w:rPr>
        <w:t xml:space="preserve">Scoring &amp; Methodology</w:t>
      </w:r>
    </w:p>
    <w:p>
      <w:pPr>
        <w:spacing w:after="480" w:before="0"/>
      </w:pPr>
      <w:r>
        <w:rPr>
          <w:rFonts w:ascii="Arial" w:cs="Arial" w:eastAsia="Arial" w:hAnsi="Arial"/>
          <w:color w:val="8C7A68"/>
          <w:sz w:val="20"/>
          <w:szCs w:val="20"/>
        </w:rPr>
        <w:t xml:space="preserve">Version 03  •  Internal Reference Document</w:t>
      </w:r>
    </w:p>
    <w:p>
      <w:pPr>
        <w:pBdr>
          <w:bottom w:val="single" w:color="E8DDD0" w:sz="4" w:space="1"/>
        </w:pBdr>
        <w:spacing w:after="160" w:before="160"/>
      </w:pPr>
    </w:p>
    <w:p>
      <w:pPr>
        <w:pStyle w:val="Heading1"/>
        <w:spacing w:after="120" w:before="360"/>
      </w:pPr>
      <w:r>
        <w:rPr>
          <w:rFonts w:ascii="Arial" w:cs="Arial" w:eastAsia="Arial" w:hAnsi="Arial"/>
          <w:b/>
          <w:bCs/>
          <w:color w:val="0E0B07"/>
          <w:sz w:val="32"/>
          <w:szCs w:val="32"/>
        </w:rPr>
        <w:t xml:space="preserve">Overview</w:t>
      </w:r>
    </w:p>
    <w:p>
      <w:pPr>
        <w:spacing w:after="140" w:before="0"/>
      </w:pPr>
      <w:r>
        <w:rPr>
          <w:rFonts w:ascii="Arial" w:cs="Arial" w:eastAsia="Arial" w:hAnsi="Arial"/>
          <w:color w:val="0E0B07"/>
          <w:sz w:val="22"/>
          <w:szCs w:val="22"/>
        </w:rPr>
        <w:t xml:space="preserve">Attune produces three outputs for each couple: a Communication &amp; Personality profile across ten behavioral dimensions, an Expectations alignment map across five life categories, and a Couple Type drawn from a library of twenty-five named patterns. Each output is derived independently and then read together to produce the results experience.</w:t>
      </w:r>
    </w:p>
    <w:p>
      <w:pPr>
        <w:spacing w:after="140" w:before="0"/>
      </w:pPr>
      <w:r>
        <w:rPr>
          <w:rFonts w:ascii="Arial" w:cs="Arial" w:eastAsia="Arial" w:hAnsi="Arial"/>
          <w:color w:val="0E0B07"/>
          <w:sz w:val="22"/>
          <w:szCs w:val="22"/>
        </w:rPr>
        <w:t xml:space="preserve">This document explains exactly how each output is calculated, where the data comes from, and how scores interact.</w:t>
      </w:r>
    </w:p>
    <w:p>
      <w:pPr>
        <w:spacing w:after="200" w:before="0"/>
      </w:pPr>
    </w:p>
    <w:p>
      <w:pPr>
        <w:pStyle w:val="Heading1"/>
        <w:spacing w:after="120" w:before="360"/>
      </w:pPr>
      <w:r>
        <w:rPr>
          <w:rFonts w:ascii="Arial" w:cs="Arial" w:eastAsia="Arial" w:hAnsi="Arial"/>
          <w:b/>
          <w:bCs/>
          <w:color w:val="0E0B07"/>
          <w:sz w:val="32"/>
          <w:szCs w:val="32"/>
        </w:rPr>
        <w:t xml:space="preserve">Exercise 01: Communication &amp; Personality</w:t>
      </w:r>
    </w:p>
    <w:p>
      <w:pPr>
        <w:spacing w:after="140" w:before="0"/>
      </w:pPr>
      <w:r>
        <w:rPr>
          <w:rFonts w:ascii="Arial" w:cs="Arial" w:eastAsia="Arial" w:hAnsi="Arial"/>
          <w:color w:val="0E0B07"/>
          <w:sz w:val="22"/>
          <w:szCs w:val="22"/>
        </w:rPr>
        <w:t xml:space="preserve">Exercise 01 has two parts. Part 1 is an individual behavioural inventory. Part 2 is a short couple-level exercise that both partners complete together. Each part produces a different kind of output; they are combined to produce the Couple Type.</w:t>
      </w:r>
    </w:p>
    <w:p>
      <w:pPr>
        <w:pStyle w:val="Heading2"/>
        <w:spacing w:after="80" w:before="280"/>
      </w:pPr>
      <w:r>
        <w:rPr>
          <w:rFonts w:ascii="Arial" w:cs="Arial" w:eastAsia="Arial" w:hAnsi="Arial"/>
          <w:b/>
          <w:bCs/>
          <w:color w:val="0E0B07"/>
          <w:sz w:val="26"/>
          <w:szCs w:val="26"/>
        </w:rPr>
        <w:t xml:space="preserve">Part 1: Individual Dimension Scoring</w:t>
      </w:r>
    </w:p>
    <w:p>
      <w:pPr>
        <w:spacing w:after="140" w:before="0"/>
      </w:pPr>
      <w:r>
        <w:rPr>
          <w:rFonts w:ascii="Arial" w:cs="Arial" w:eastAsia="Arial" w:hAnsi="Arial"/>
          <w:color w:val="0E0B07"/>
          <w:sz w:val="22"/>
          <w:szCs w:val="22"/>
        </w:rPr>
        <w:t xml:space="preserve">Each partner answers fifty questions independently, presented in an interleaved sequence across ten dimensions. Questions are binary forced-choice, answered on a 1–5 scale: selecting option A scores 1, selecting option B scores 5, selecting the explicit middle option (where available) scores 3.</w:t>
      </w:r>
    </w:p>
    <w:p>
      <w:pPr>
        <w:spacing w:after="140" w:before="0"/>
      </w:pPr>
      <w:r>
        <w:rPr>
          <w:rFonts w:ascii="Arial" w:cs="Arial" w:eastAsia="Arial" w:hAnsi="Arial"/>
          <w:color w:val="0E0B07"/>
          <w:sz w:val="22"/>
          <w:szCs w:val="22"/>
        </w:rPr>
        <w:t xml:space="preserve">Five questions per dimension produce a per-dimension average score from 1–5. Higher scores consistently represent one behavioural pole; lower scores represent the other. The poles are defined as follows: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Dimension</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Low end (1)</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High end (5)</w:t>
            </w:r>
          </w:p>
        </w:tc>
        <w:tc>
          <w:tcPr>
            <w:tcW w:type="dxa" w:w="2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What it measures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Energy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Inward / recharges alone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Outward / energized by people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Where someone draws their energy — solitude vs. social engagement</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Expression</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Guarded / holds things close</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Expressive / shares readily</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How freely feelings and reactions surface and get communicated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Needs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Indirect / signals rather than asks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Direct / asks explicitly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How someone communicates what they want or need from a partner</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Bids</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Misses or delays bids for connection</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Reads and responds to bids quickly</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How well someone notices and responds when the other reaches for connection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Conflict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Engages fast, low avoidance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Withdraws first, needs space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The instinct when tension arrives — engage immediately or take space first</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Repair</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Verbal / needs explicit conversation</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Gestural / repairs through action</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How someone initiates repair after conflict — words or deeds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Closeness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Independent / needs own space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Close-seeking / wants togetherness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The desired level of togetherness in the relationship day-to-day</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Love</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Acts of service / practical expression</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Words / verbal affirmation</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How love is most naturally expressed and received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Stress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Externalizes / processes aloud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Internalizes / processes privately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Whether someone brings their stress into the shared space or handles it privately</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Feedback</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Defensive / guards against criticism</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Open / can hear hard feedback</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How someone receives honest feedback from their partner</w:t>
            </w:r>
          </w:p>
        </w:tc>
      </w:tr>
    </w:tbl>
    <w:p>
      <w:pPr>
        <w:spacing w:after="200" w:before="0"/>
      </w:pPr>
    </w:p>
    <w:p>
      <w:pPr>
        <w:spacing w:after="60" w:before="200"/>
      </w:pPr>
      <w:r>
        <w:rPr>
          <w:rFonts w:ascii="Arial" w:cs="Arial" w:eastAsia="Arial" w:hAnsi="Arial"/>
          <w:b/>
          <w:bCs/>
          <w:color w:val="E8673A"/>
          <w:sz w:val="22"/>
          <w:szCs w:val="22"/>
        </w:rPr>
        <w:t xml:space="preserve">Gap Scoring</w:t>
      </w:r>
    </w:p>
    <w:p>
      <w:pPr>
        <w:spacing w:after="140" w:before="0"/>
      </w:pPr>
      <w:r>
        <w:rPr>
          <w:rFonts w:ascii="Arial" w:cs="Arial" w:eastAsia="Arial" w:hAnsi="Arial"/>
          <w:color w:val="0E0B07"/>
          <w:sz w:val="22"/>
          <w:szCs w:val="22"/>
        </w:rPr>
        <w:t xml:space="preserve">Once both partners have scored, each dimension produces a gap: the absolute difference between the two individual scores. Gaps determine how results are labelled in the dashboard.</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Gap range</w:t>
            </w:r>
          </w:p>
        </w:tc>
        <w:tc>
          <w:tcPr>
            <w:tcW w:type="dxa" w:w="28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Label</w:t>
            </w:r>
          </w:p>
        </w:tc>
        <w:tc>
          <w:tcPr>
            <w:tcW w:type="dxa" w:w="40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Meaning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&lt; 0.8</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In sync</w:t>
            </w:r>
          </w:p>
        </w:tc>
        <w:tc>
          <w:tcPr>
            <w:tcW w:type="dxa" w:w="4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Partners share the same orientation on this dimension</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0.8 – 1.4</w:t>
            </w:r>
          </w:p>
        </w:tc>
        <w:tc>
          <w:tcPr>
            <w:tcW w:type="dxa" w:w="2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Close</w:t>
            </w:r>
          </w:p>
        </w:tc>
        <w:tc>
          <w:tcPr>
            <w:tcW w:type="dxa" w:w="4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Minor difference; usually complementary rather than friction-generating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1.5 – 2.4</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Different</w:t>
            </w:r>
          </w:p>
        </w:tc>
        <w:tc>
          <w:tcPr>
            <w:tcW w:type="dxa" w:w="4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Meaningful gap; worth understanding and naming</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 2.5</w:t>
            </w:r>
          </w:p>
        </w:tc>
        <w:tc>
          <w:tcPr>
            <w:tcW w:type="dxa" w:w="2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Very different</w:t>
            </w:r>
          </w:p>
        </w:tc>
        <w:tc>
          <w:tcPr>
            <w:tcW w:type="dxa" w:w="4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Significant divergence; a primary topic in the action plan</w:t>
            </w:r>
          </w:p>
        </w:tc>
      </w:tr>
    </w:tbl>
    <w:p>
      <w:pPr>
        <w:spacing w:after="200" w:before="0"/>
      </w:pPr>
    </w:p>
    <w:p>
      <w:pPr>
        <w:spacing w:after="60" w:before="200"/>
      </w:pPr>
      <w:r>
        <w:rPr>
          <w:rFonts w:ascii="Arial" w:cs="Arial" w:eastAsia="Arial" w:hAnsi="Arial"/>
          <w:b/>
          <w:bCs/>
          <w:color w:val="E8673A"/>
          <w:sz w:val="22"/>
          <w:szCs w:val="22"/>
        </w:rPr>
        <w:t xml:space="preserve">Overall Pairing Label</w:t>
      </w:r>
    </w:p>
    <w:p>
      <w:pPr>
        <w:spacing w:after="140" w:before="0"/>
      </w:pPr>
      <w:r>
        <w:rPr>
          <w:rFonts w:ascii="Arial" w:cs="Arial" w:eastAsia="Arial" w:hAnsi="Arial"/>
          <w:color w:val="0E0B07"/>
          <w:sz w:val="22"/>
          <w:szCs w:val="22"/>
        </w:rPr>
        <w:t xml:space="preserve">An overall pairing label is derived from the average gap across all ten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Avg gap</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Label</w:t>
            </w:r>
          </w:p>
        </w:tc>
        <w:tc>
          <w:tcPr>
            <w:tcW w:type="dxa" w:w="4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&lt; 1.0</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Highly aligned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Strong shared foundation across dimensions</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1.0 – 1.79</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Well matched</w:t>
            </w:r>
          </w:p>
        </w:tc>
        <w:tc>
          <w:tcPr>
            <w:tcW w:type="dxa" w:w="4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More in common than apart, with room to grow</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1.8 – 2.49</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Complementary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Meaningful differences that are worth exploring</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 2.5</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Distinct styles</w:t>
            </w:r>
          </w:p>
        </w:tc>
        <w:tc>
          <w:tcPr>
            <w:tcW w:type="dxa" w:w="4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Notable divergence that creates opportunity for deeper understanding</w:t>
            </w:r>
          </w:p>
        </w:tc>
      </w:tr>
    </w:tbl>
    <w:p>
      <w:pPr>
        <w:spacing w:after="200" w:before="0"/>
      </w:pPr>
    </w:p>
    <w:p>
      <w:pPr>
        <w:spacing w:after="60" w:before="200"/>
      </w:pPr>
      <w:r>
        <w:rPr>
          <w:rFonts w:ascii="Arial" w:cs="Arial" w:eastAsia="Arial" w:hAnsi="Arial"/>
          <w:b/>
          <w:bCs/>
          <w:color w:val="E8673A"/>
          <w:sz w:val="22"/>
          <w:szCs w:val="22"/>
        </w:rPr>
        <w:t xml:space="preserve">6-Axis Style Code</w:t>
      </w:r>
    </w:p>
    <w:p>
      <w:pPr>
        <w:spacing w:after="140" w:before="0"/>
      </w:pPr>
      <w:r>
        <w:rPr>
          <w:rFonts w:ascii="Arial" w:cs="Arial" w:eastAsia="Arial" w:hAnsi="Arial"/>
          <w:color w:val="0E0B07"/>
          <w:sz w:val="22"/>
          <w:szCs w:val="22"/>
        </w:rPr>
        <w:t xml:space="preserve">Each individual’s dimension scores are also compressed into a 6-letter behavioural style code. This code is used internally as an input to couple type derivation and is not surfaced to users.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2880"/>
        <w:gridCol w:w="5040"/>
      </w:tblGrid>
      <w:tr>
        <w:trPr>
          <w:tblHeader/>
        </w:trPr>
        <w:tc>
          <w:tcPr>
            <w:tcW w:type="dxa" w:w="7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Code</w:t>
            </w:r>
          </w:p>
        </w:tc>
        <w:tc>
          <w:tcPr>
            <w:tcW w:type="dxa" w:w="7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Axis</w:t>
            </w:r>
          </w:p>
        </w:tc>
        <w:tc>
          <w:tcPr>
            <w:tcW w:type="dxa" w:w="28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Poles</w:t>
            </w:r>
          </w:p>
        </w:tc>
        <w:tc>
          <w:tcPr>
            <w:tcW w:type="dxa" w:w="5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Description</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0B07"/>
                <w:sz w:val="18"/>
                <w:szCs w:val="18"/>
              </w:rPr>
              <w:t xml:space="preserve">E/I</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Energy</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Outward / Inward</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Derived from the Energy dimension score</w:t>
            </w:r>
          </w:p>
        </w:tc>
      </w:tr>
      <w:tr>
        <w:tc>
          <w:tcPr>
            <w:tcW w:type="dxa" w:w="7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0E0B07"/>
                <w:sz w:val="18"/>
                <w:szCs w:val="18"/>
              </w:rPr>
              <w:t xml:space="preserve">X/G</w:t>
            </w:r>
          </w:p>
        </w:tc>
        <w:tc>
          <w:tcPr>
            <w:tcW w:type="dxa" w:w="7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Expression</w:t>
            </w:r>
          </w:p>
        </w:tc>
        <w:tc>
          <w:tcPr>
            <w:tcW w:type="dxa" w:w="2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eXpressive / Guarded</w:t>
            </w:r>
          </w:p>
        </w:tc>
        <w:tc>
          <w:tcPr>
            <w:tcW w:type="dxa" w:w="50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Average of Expression + Feedback scores</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0B07"/>
                <w:sz w:val="18"/>
                <w:szCs w:val="18"/>
              </w:rPr>
              <w:t xml:space="preserve">F/S</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Conflict</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Fast-engage / Space-first</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Conflict dimension score</w:t>
            </w:r>
          </w:p>
        </w:tc>
      </w:tr>
      <w:tr>
        <w:tc>
          <w:tcPr>
            <w:tcW w:type="dxa" w:w="7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0E0B07"/>
                <w:sz w:val="18"/>
                <w:szCs w:val="18"/>
              </w:rPr>
              <w:t xml:space="preserve">C/A</w:t>
            </w:r>
          </w:p>
        </w:tc>
        <w:tc>
          <w:tcPr>
            <w:tcW w:type="dxa" w:w="7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Closeness</w:t>
            </w:r>
          </w:p>
        </w:tc>
        <w:tc>
          <w:tcPr>
            <w:tcW w:type="dxa" w:w="2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Close-seeking / Autonomous</w:t>
            </w:r>
          </w:p>
        </w:tc>
        <w:tc>
          <w:tcPr>
            <w:tcW w:type="dxa" w:w="50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Closeness dimension score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E0B07"/>
                <w:sz w:val="18"/>
                <w:szCs w:val="18"/>
              </w:rPr>
              <w:t xml:space="preserve">D/H</w:t>
            </w:r>
          </w:p>
        </w:tc>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Needs</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Direct / Hints</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E0B07"/>
                <w:sz w:val="18"/>
                <w:szCs w:val="18"/>
              </w:rPr>
              <w:t xml:space="preserve">Needs dimension score</w:t>
            </w:r>
          </w:p>
        </w:tc>
      </w:tr>
      <w:tr>
        <w:tc>
          <w:tcPr>
            <w:tcW w:type="dxa" w:w="7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0E0B07"/>
                <w:sz w:val="18"/>
                <w:szCs w:val="18"/>
              </w:rPr>
              <w:t xml:space="preserve">Q/T</w:t>
            </w:r>
          </w:p>
        </w:tc>
        <w:tc>
          <w:tcPr>
            <w:tcW w:type="dxa" w:w="7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Repair</w:t>
            </w:r>
          </w:p>
        </w:tc>
        <w:tc>
          <w:tcPr>
            <w:tcW w:type="dxa" w:w="2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Gesture (Quiet) / Talk it out</w:t>
            </w:r>
          </w:p>
        </w:tc>
        <w:tc>
          <w:tcPr>
            <w:tcW w:type="dxa" w:w="50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color w:val="0E0B07"/>
                <w:sz w:val="18"/>
                <w:szCs w:val="18"/>
              </w:rPr>
              <w:t xml:space="preserve">Repair dimension score</w:t>
            </w:r>
          </w:p>
        </w:tc>
      </w:tr>
    </w:tbl>
    <w:p>
      <w:pPr>
        <w:spacing w:after="200" w:before="0"/>
      </w:pPr>
    </w:p>
    <w:p>
      <w:pPr>
        <w:spacing w:after="140" w:before="0"/>
        <w:ind w:left="360"/>
      </w:pPr>
      <w:r>
        <w:rPr>
          <w:rFonts w:ascii="Arial" w:cs="Arial" w:eastAsia="Arial" w:hAnsi="Arial"/>
          <w:i/>
          <w:iCs/>
          <w:color w:val="8C7A68"/>
          <w:sz w:val="20"/>
          <w:szCs w:val="20"/>
        </w:rPr>
        <w:t xml:space="preserve">Example: a person scoring 4.2 on Energy, 2.1 on Expression, 1.8 on Conflict, 3.8 on Closeness, 2.0 on Needs, and 4.1 on Repair receives the code I-G-F-C-H-T. The Expression + Feedback average determines X vs. G.</w:t>
      </w:r>
    </w:p>
    <w:p>
      <w:pPr>
        <w:spacing w:after="200" w:before="0"/>
      </w:pPr>
    </w:p>
    <w:p>
      <w:pPr>
        <w:pStyle w:val="Heading2"/>
        <w:spacing w:after="80" w:before="280"/>
      </w:pPr>
      <w:r>
        <w:rPr>
          <w:rFonts w:ascii="Arial" w:cs="Arial" w:eastAsia="Arial" w:hAnsi="Arial"/>
          <w:b/>
          <w:bCs/>
          <w:color w:val="0E0B07"/>
          <w:sz w:val="26"/>
          <w:szCs w:val="26"/>
        </w:rPr>
        <w:t xml:space="preserve">Part 2: Couple Typing Questions</w:t>
      </w:r>
    </w:p>
    <w:p>
      <w:pPr>
        <w:spacing w:after="140" w:before="0"/>
      </w:pPr>
      <w:r>
        <w:rPr>
          <w:rFonts w:ascii="Arial" w:cs="Arial" w:eastAsia="Arial" w:hAnsi="Arial"/>
          <w:color w:val="0E0B07"/>
          <w:sz w:val="22"/>
          <w:szCs w:val="22"/>
        </w:rPr>
        <w:t xml:space="preserve">After completing the 50-question individual inventory, each partner answers 10 additional questions as a couple. These questions ask about observable patterns in the relationship that neither partner could answer alone: how they actually spend unplanned time, how conflict unfolds in practice, what repair typically looks like, and what they’ve built together.</w:t>
      </w:r>
    </w:p>
    <w:p>
      <w:pPr>
        <w:spacing w:after="140" w:before="0"/>
      </w:pPr>
      <w:r>
        <w:rPr>
          <w:rFonts w:ascii="Arial" w:cs="Arial" w:eastAsia="Arial" w:hAnsi="Arial"/>
          <w:color w:val="0E0B07"/>
          <w:sz w:val="22"/>
          <w:szCs w:val="22"/>
        </w:rPr>
        <w:t xml:space="preserve">The questions are behavioural and situational. Answer options are phrased to describe what actually happens, not how either partner wishes it would go, and they are not keyed to specific type labels to avoid telegraphing the outcome.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Category</w:t>
            </w:r>
          </w:p>
        </w:tc>
        <w:tc>
          <w:tcPr>
            <w:tcW w:type="dxa" w:w="6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Question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How you spend time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When you have free time with no plans, you two tend to:</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Structure &amp; logistics</w:t>
            </w:r>
          </w:p>
        </w:tc>
        <w:tc>
          <w:tcPr>
            <w:tcW w:type="dxa" w:w="6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When it comes to your shared calendar and the logistics of life together: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Structure &amp; logistics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When a plan changes at the last minute:</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Closeness under pressure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When one of you is going through something hard: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Closeness &amp; independence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The balance of time together and time apart between you feels:</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Conflict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When you’re in the middle of a disagreement, it usually goes: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Repair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After something difficult between you, what usually brings the air back?</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How you decide things</w:t>
            </w:r>
          </w:p>
        </w:tc>
        <w:tc>
          <w:tcPr>
            <w:tcW w:type="dxa" w:w="6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When you’re making a big decision together, you tend to: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What goes unspoken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When something is bothering one of you but hasn’t been said:</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What you’ve built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When you think about what you’ve built together, what feels most accurate?</w:t>
            </w:r>
          </w:p>
        </w:tc>
      </w:tr>
    </w:tbl>
    <w:p>
      <w:pPr>
        <w:spacing w:after="200" w:before="0"/>
      </w:pPr>
    </w:p>
    <w:p>
      <w:pPr>
        <w:pStyle w:val="Heading1"/>
        <w:spacing w:after="120" w:before="360"/>
      </w:pPr>
      <w:r>
        <w:rPr>
          <w:rFonts w:ascii="Arial" w:cs="Arial" w:eastAsia="Arial" w:hAnsi="Arial"/>
          <w:b/>
          <w:bCs/>
          <w:color w:val="0E0B07"/>
          <w:sz w:val="32"/>
          <w:szCs w:val="32"/>
        </w:rPr>
        <w:t xml:space="preserve">Couple Type Derivation</w:t>
      </w:r>
    </w:p>
    <w:p>
      <w:pPr>
        <w:spacing w:after="140" w:before="0"/>
      </w:pPr>
      <w:r>
        <w:rPr>
          <w:rFonts w:ascii="Arial" w:cs="Arial" w:eastAsia="Arial" w:hAnsi="Arial"/>
          <w:color w:val="0E0B07"/>
          <w:sz w:val="22"/>
          <w:szCs w:val="22"/>
        </w:rPr>
        <w:t xml:space="preserve">The Couple Type is derived through a two-stage process. Stage 1 uses the 50-question dimension scores as the primary signal. Stage 2 uses the 10 couple-level questions as a secondary check that can refine the result under specific conditions.</w:t>
      </w:r>
    </w:p>
    <w:p>
      <w:pPr>
        <w:pStyle w:val="Heading2"/>
        <w:spacing w:after="80" w:before="280"/>
      </w:pPr>
      <w:r>
        <w:rPr>
          <w:rFonts w:ascii="Arial" w:cs="Arial" w:eastAsia="Arial" w:hAnsi="Arial"/>
          <w:b/>
          <w:bCs/>
          <w:color w:val="0E0B07"/>
          <w:sz w:val="26"/>
          <w:szCs w:val="26"/>
        </w:rPr>
        <w:t xml:space="preserve">Stage 1: Dimension Score Matching</w:t>
      </w:r>
    </w:p>
    <w:p>
      <w:pPr>
        <w:spacing w:after="140" w:before="0"/>
      </w:pPr>
      <w:r>
        <w:rPr>
          <w:rFonts w:ascii="Arial" w:cs="Arial" w:eastAsia="Arial" w:hAnsi="Arial"/>
          <w:color w:val="0E0B07"/>
          <w:sz w:val="22"/>
          <w:szCs w:val="22"/>
        </w:rPr>
        <w:t xml:space="preserve">Each of the 25 couple types has a characteristic pattern across all ten dimensions. The system scores each type by how well the couple’s actual dimension scores match that type’s expected pattern.</w:t>
      </w:r>
    </w:p>
    <w:p>
      <w:pPr>
        <w:spacing w:after="140" w:before="0"/>
      </w:pPr>
      <w:r>
        <w:rPr>
          <w:rFonts w:ascii="Arial" w:cs="Arial" w:eastAsia="Arial" w:hAnsi="Arial"/>
          <w:color w:val="0E0B07"/>
          <w:sz w:val="22"/>
          <w:szCs w:val="22"/>
        </w:rPr>
        <w:t xml:space="preserve">The matching uses several signal types:</w:t>
      </w:r>
    </w:p>
    <w:p>
      <w:pPr>
        <w:pStyle w:val="ListParagraph"/>
        <w:numPr>
          <w:ilvl w:val="0"/>
          <w:numId w:val="2"/>
        </w:numPr>
        <w:spacing w:after="80" w:before="0"/>
      </w:pPr>
      <w:r>
        <w:rPr>
          <w:rFonts w:ascii="Arial" w:cs="Arial" w:eastAsia="Arial" w:hAnsi="Arial"/>
          <w:color w:val="0E0B07"/>
          <w:sz w:val="22"/>
          <w:szCs w:val="22"/>
        </w:rPr>
        <w:t xml:space="preserve">bhi (both high): both partners score above 3.5 on a dimension — they share the same high-end orientation</w:t>
      </w:r>
    </w:p>
    <w:p>
      <w:pPr>
        <w:pStyle w:val="ListParagraph"/>
        <w:numPr>
          <w:ilvl w:val="0"/>
          <w:numId w:val="2"/>
        </w:numPr>
        <w:spacing w:after="80" w:before="0"/>
      </w:pPr>
      <w:r>
        <w:rPr>
          <w:rFonts w:ascii="Arial" w:cs="Arial" w:eastAsia="Arial" w:hAnsi="Arial"/>
          <w:color w:val="0E0B07"/>
          <w:sz w:val="22"/>
          <w:szCs w:val="22"/>
        </w:rPr>
        <w:t xml:space="preserve">blo (both low): both partners score below 2.5 on a dimension — they share the same low-end orientation</w:t>
      </w:r>
    </w:p>
    <w:p>
      <w:pPr>
        <w:pStyle w:val="ListParagraph"/>
        <w:numPr>
          <w:ilvl w:val="0"/>
          <w:numId w:val="2"/>
        </w:numPr>
        <w:spacing w:after="80" w:before="0"/>
      </w:pPr>
      <w:r>
        <w:rPr>
          <w:rFonts w:ascii="Arial" w:cs="Arial" w:eastAsia="Arial" w:hAnsi="Arial"/>
          <w:color w:val="0E0B07"/>
          <w:sz w:val="22"/>
          <w:szCs w:val="22"/>
        </w:rPr>
        <w:t xml:space="preserve">bg (broad gap): the gap between partners is ≥ 1.5 points — meaningfully different on this dimension</w:t>
      </w:r>
    </w:p>
    <w:p>
      <w:pPr>
        <w:pStyle w:val="ListParagraph"/>
        <w:numPr>
          <w:ilvl w:val="0"/>
          <w:numId w:val="2"/>
        </w:numPr>
        <w:spacing w:after="80" w:before="0"/>
      </w:pPr>
      <w:r>
        <w:rPr>
          <w:rFonts w:ascii="Arial" w:cs="Arial" w:eastAsia="Arial" w:hAnsi="Arial"/>
          <w:color w:val="0E0B07"/>
          <w:sz w:val="22"/>
          <w:szCs w:val="22"/>
        </w:rPr>
        <w:t xml:space="preserve">hg (high gap): the gap is ≥ 2.0 points — strongly divergent on this dimension</w:t>
      </w:r>
    </w:p>
    <w:p>
      <w:pPr>
        <w:pStyle w:val="ListParagraph"/>
        <w:numPr>
          <w:ilvl w:val="0"/>
          <w:numId w:val="2"/>
        </w:numPr>
        <w:spacing w:after="80" w:before="0"/>
      </w:pPr>
      <w:r>
        <w:rPr>
          <w:rFonts w:ascii="Arial" w:cs="Arial" w:eastAsia="Arial" w:hAnsi="Arial"/>
          <w:color w:val="0E0B07"/>
          <w:sz w:val="22"/>
          <w:szCs w:val="22"/>
        </w:rPr>
        <w:t xml:space="preserve">cg (close gap): the gap is &lt; 1.2 points — closely matched on this dimension</w:t>
      </w:r>
    </w:p>
    <w:p>
      <w:pPr>
        <w:spacing w:after="200" w:before="0"/>
      </w:pPr>
    </w:p>
    <w:p>
      <w:pPr>
        <w:spacing w:after="140" w:before="0"/>
      </w:pPr>
      <w:r>
        <w:rPr>
          <w:rFonts w:ascii="Arial" w:cs="Arial" w:eastAsia="Arial" w:hAnsi="Arial"/>
          <w:color w:val="0E0B07"/>
          <w:sz w:val="22"/>
          <w:szCs w:val="22"/>
        </w:rPr>
        <w:t xml:space="preserve">Each type’s scoring pattern is composed of these signals. The type with the highest total signal score against the couple’s actual data is selected as the Stage 1 result. If no type scores above a minimum threshold, the result falls back to a general pairing category based on average gap alone.</w:t>
      </w:r>
    </w:p>
    <w:p>
      <w:pPr>
        <w:pStyle w:val="Heading2"/>
        <w:spacing w:after="80" w:before="280"/>
      </w:pPr>
      <w:r>
        <w:rPr>
          <w:rFonts w:ascii="Arial" w:cs="Arial" w:eastAsia="Arial" w:hAnsi="Arial"/>
          <w:b/>
          <w:bCs/>
          <w:color w:val="0E0B07"/>
          <w:sz w:val="26"/>
          <w:szCs w:val="26"/>
        </w:rPr>
        <w:t xml:space="preserve">Stage 2: Couple-Level Question Refinement</w:t>
      </w:r>
    </w:p>
    <w:p>
      <w:pPr>
        <w:spacing w:after="140" w:before="0"/>
      </w:pPr>
      <w:r>
        <w:rPr>
          <w:rFonts w:ascii="Arial" w:cs="Arial" w:eastAsia="Arial" w:hAnsi="Arial"/>
          <w:color w:val="0E0B07"/>
          <w:sz w:val="22"/>
          <w:szCs w:val="22"/>
        </w:rPr>
        <w:t xml:space="preserve">The 10 couple-level questions from Part 2 generate secondary scores for each type. These scores can refine the Stage 1 result under two conditions:</w:t>
      </w:r>
    </w:p>
    <w:p>
      <w:pPr>
        <w:pStyle w:val="ListParagraph"/>
        <w:numPr>
          <w:ilvl w:val="0"/>
          <w:numId w:val="2"/>
        </w:numPr>
        <w:spacing w:after="80" w:before="0"/>
      </w:pPr>
      <w:r>
        <w:rPr>
          <w:rFonts w:ascii="Arial" w:cs="Arial" w:eastAsia="Arial" w:hAnsi="Arial"/>
          <w:color w:val="0E0B07"/>
          <w:sz w:val="22"/>
          <w:szCs w:val="22"/>
        </w:rPr>
        <w:t xml:space="preserve">The question-based score for a given type reaches 11 or higher</w:t>
      </w:r>
    </w:p>
    <w:p>
      <w:pPr>
        <w:pStyle w:val="ListParagraph"/>
        <w:numPr>
          <w:ilvl w:val="0"/>
          <w:numId w:val="2"/>
        </w:numPr>
        <w:spacing w:after="80" w:before="0"/>
      </w:pPr>
      <w:r>
        <w:rPr>
          <w:rFonts w:ascii="Arial" w:cs="Arial" w:eastAsia="Arial" w:hAnsi="Arial"/>
          <w:color w:val="0E0B07"/>
          <w:sz w:val="22"/>
          <w:szCs w:val="22"/>
        </w:rPr>
        <w:t xml:space="preserve">The question-based score reaches 8 or higher, and it exceeds the score the Stage 1 type received from the same questions by at least 4 points</w:t>
      </w:r>
    </w:p>
    <w:p>
      <w:pPr>
        <w:spacing w:after="200" w:before="0"/>
      </w:pPr>
    </w:p>
    <w:p>
      <w:pPr>
        <w:spacing w:after="140" w:before="0"/>
      </w:pPr>
      <w:r>
        <w:rPr>
          <w:rFonts w:ascii="Arial" w:cs="Arial" w:eastAsia="Arial" w:hAnsi="Arial"/>
          <w:color w:val="0E0B07"/>
          <w:sz w:val="22"/>
          <w:szCs w:val="22"/>
        </w:rPr>
        <w:t xml:space="preserve">If neither condition is met, the Stage 1 dimension-based result is preserved unchanged.</w:t>
      </w:r>
    </w:p>
    <w:p>
      <w:pPr>
        <w:spacing w:after="140" w:before="0"/>
      </w:pPr>
      <w:r>
        <w:rPr>
          <w:rFonts w:ascii="Arial" w:cs="Arial" w:eastAsia="Arial" w:hAnsi="Arial"/>
          <w:color w:val="0E0B07"/>
          <w:sz w:val="22"/>
          <w:szCs w:val="22"/>
        </w:rPr>
        <w:t xml:space="preserve">This threshold structure ensures the 50-question individual assessment remains the primary determinant. The couple-level questions act as a refinement signal, not an override. In practice, the Stage 2 questions can adjust the result when the couple’s observed patterns provide meaningful additional evidence, and stay out of the way when they don’t.</w:t>
      </w:r>
    </w:p>
    <w:p>
      <w:pPr>
        <w:spacing w:after="60" w:before="200"/>
      </w:pPr>
      <w:r>
        <w:rPr>
          <w:rFonts w:ascii="Arial" w:cs="Arial" w:eastAsia="Arial" w:hAnsi="Arial"/>
          <w:b/>
          <w:bCs/>
          <w:color w:val="E8673A"/>
          <w:sz w:val="22"/>
          <w:szCs w:val="22"/>
        </w:rPr>
        <w:t xml:space="preserve">Structural Type Corroboration</w:t>
      </w:r>
    </w:p>
    <w:p>
      <w:pPr>
        <w:spacing w:after="140" w:before="0"/>
      </w:pPr>
      <w:r>
        <w:rPr>
          <w:rFonts w:ascii="Arial" w:cs="Arial" w:eastAsia="Arial" w:hAnsi="Arial"/>
          <w:color w:val="0E0B07"/>
          <w:sz w:val="22"/>
          <w:szCs w:val="22"/>
        </w:rPr>
        <w:t xml:space="preserve">Three types — The Planners, The Open Road, and The Planner &amp; The Free Spirit — are primarily defined by attitudes toward structure and routine rather than by behavioural dimensions that map cleanly to the 50 questions. For these types, the couple-level questions and the dimension scores are required to agree before the type is assigned. The questions alone are not sufficient.</w:t>
      </w:r>
    </w:p>
    <w:p>
      <w:pPr>
        <w:spacing w:after="200" w:before="0"/>
      </w:pPr>
    </w:p>
    <w:p>
      <w:pPr>
        <w:spacing w:after="60" w:before="200"/>
      </w:pPr>
      <w:r>
        <w:rPr>
          <w:rFonts w:ascii="Arial" w:cs="Arial" w:eastAsia="Arial" w:hAnsi="Arial"/>
          <w:b/>
          <w:bCs/>
          <w:color w:val="E8673A"/>
          <w:sz w:val="22"/>
          <w:szCs w:val="22"/>
        </w:rPr>
        <w:t xml:space="preserve">Why This Design</w:t>
      </w:r>
    </w:p>
    <w:p>
      <w:pPr>
        <w:spacing w:after="140" w:before="0"/>
      </w:pPr>
      <w:r>
        <w:rPr>
          <w:rFonts w:ascii="Arial" w:cs="Arial" w:eastAsia="Arial" w:hAnsi="Arial"/>
          <w:color w:val="0E0B07"/>
          <w:sz w:val="22"/>
          <w:szCs w:val="22"/>
        </w:rPr>
        <w:t xml:space="preserve">The individual 50-question assessment is strong at capturing stable behavioural tendencies. It is less able to distinguish two couples who both score high on conflict avoidance but have developed very different patterns of how that avoidance plays out in the relationship — one couple has a healthy rhythm of letting things breathe, another has years of unsaid things building up. The couple-level questions probe the second layer: not the individual wiring, but the actual dynamic it produces. The design keeps the 50-question foundation primary while using the couple-level questions for exactly the cases where they add genuine information.</w:t>
      </w:r>
    </w:p>
    <w:p>
      <w:pPr>
        <w:spacing w:after="200" w:before="0"/>
      </w:pPr>
    </w:p>
    <w:p>
      <w:pPr>
        <w:pStyle w:val="Heading1"/>
        <w:spacing w:after="120" w:before="360"/>
      </w:pPr>
      <w:r>
        <w:rPr>
          <w:rFonts w:ascii="Arial" w:cs="Arial" w:eastAsia="Arial" w:hAnsi="Arial"/>
          <w:b/>
          <w:bCs/>
          <w:color w:val="0E0B07"/>
          <w:sz w:val="32"/>
          <w:szCs w:val="32"/>
        </w:rPr>
        <w:t xml:space="preserve">Exercise 02: Expectations</w:t>
      </w:r>
    </w:p>
    <w:p>
      <w:pPr>
        <w:spacing w:after="140" w:before="0"/>
      </w:pPr>
      <w:r>
        <w:rPr>
          <w:rFonts w:ascii="Arial" w:cs="Arial" w:eastAsia="Arial" w:hAnsi="Arial"/>
          <w:color w:val="0E0B07"/>
          <w:sz w:val="22"/>
          <w:szCs w:val="22"/>
        </w:rPr>
        <w:t xml:space="preserve">Exercise 02 maps expectation alignment across five fixed life categories. Both partners answer independently. Results are compared once both have finished.</w:t>
      </w:r>
    </w:p>
    <w:p>
      <w:pPr>
        <w:pStyle w:val="Heading2"/>
        <w:spacing w:after="80" w:before="280"/>
      </w:pPr>
      <w:r>
        <w:rPr>
          <w:rFonts w:ascii="Arial" w:cs="Arial" w:eastAsia="Arial" w:hAnsi="Arial"/>
          <w:b/>
          <w:bCs/>
          <w:color w:val="0E0B07"/>
          <w:sz w:val="26"/>
          <w:szCs w:val="26"/>
        </w:rPr>
        <w:t xml:space="preserve">Category Structure</w:t>
      </w:r>
    </w:p>
    <w:p>
      <w:pPr>
        <w:spacing w:after="140" w:before="0"/>
      </w:pPr>
      <w:r>
        <w:rPr>
          <w:rFonts w:ascii="Arial" w:cs="Arial" w:eastAsia="Arial" w:hAnsi="Arial"/>
          <w:color w:val="0E0B07"/>
          <w:sz w:val="22"/>
          <w:szCs w:val="22"/>
        </w:rPr>
        <w:t xml:space="preserve">All couples are assessed on the same five categories, in this order:</w:t>
      </w:r>
    </w:p>
    <w:p>
      <w:pPr>
        <w:pStyle w:val="ListParagraph"/>
        <w:numPr>
          <w:ilvl w:val="0"/>
          <w:numId w:val="2"/>
        </w:numPr>
        <w:spacing w:after="80" w:before="0"/>
      </w:pPr>
      <w:r>
        <w:rPr>
          <w:rFonts w:ascii="Arial" w:cs="Arial" w:eastAsia="Arial" w:hAnsi="Arial"/>
          <w:color w:val="0E0B07"/>
          <w:sz w:val="22"/>
          <w:szCs w:val="22"/>
        </w:rPr>
        <w:t xml:space="preserve">Visible Household Labor — cooking, cleaning, shopping, home maintenance</w:t>
      </w:r>
    </w:p>
    <w:p>
      <w:pPr>
        <w:pStyle w:val="ListParagraph"/>
        <w:numPr>
          <w:ilvl w:val="0"/>
          <w:numId w:val="2"/>
        </w:numPr>
        <w:spacing w:after="80" w:before="0"/>
      </w:pPr>
      <w:r>
        <w:rPr>
          <w:rFonts w:ascii="Arial" w:cs="Arial" w:eastAsia="Arial" w:hAnsi="Arial"/>
          <w:color w:val="0E0B07"/>
          <w:sz w:val="22"/>
          <w:szCs w:val="22"/>
        </w:rPr>
        <w:t xml:space="preserve">Financial — earning, saving, spending decisions, financial planning</w:t>
      </w:r>
    </w:p>
    <w:p>
      <w:pPr>
        <w:pStyle w:val="ListParagraph"/>
        <w:numPr>
          <w:ilvl w:val="0"/>
          <w:numId w:val="2"/>
        </w:numPr>
        <w:spacing w:after="80" w:before="0"/>
      </w:pPr>
      <w:r>
        <w:rPr>
          <w:rFonts w:ascii="Arial" w:cs="Arial" w:eastAsia="Arial" w:hAnsi="Arial"/>
          <w:color w:val="0E0B07"/>
          <w:sz w:val="22"/>
          <w:szCs w:val="22"/>
        </w:rPr>
        <w:t xml:space="preserve">Career — career ambition, work hours, location flexibility, professional identity</w:t>
      </w:r>
    </w:p>
    <w:p>
      <w:pPr>
        <w:pStyle w:val="ListParagraph"/>
        <w:numPr>
          <w:ilvl w:val="0"/>
          <w:numId w:val="2"/>
        </w:numPr>
        <w:spacing w:after="80" w:before="0"/>
      </w:pPr>
      <w:r>
        <w:rPr>
          <w:rFonts w:ascii="Arial" w:cs="Arial" w:eastAsia="Arial" w:hAnsi="Arial"/>
          <w:color w:val="0E0B07"/>
          <w:sz w:val="22"/>
          <w:szCs w:val="22"/>
        </w:rPr>
        <w:t xml:space="preserve">Emotional &amp; Invisible Labor — social coordination, emotional support, mental load</w:t>
      </w:r>
    </w:p>
    <w:p>
      <w:pPr>
        <w:pStyle w:val="ListParagraph"/>
        <w:numPr>
          <w:ilvl w:val="0"/>
          <w:numId w:val="2"/>
        </w:numPr>
        <w:spacing w:after="80" w:before="0"/>
      </w:pPr>
      <w:r>
        <w:rPr>
          <w:rFonts w:ascii="Arial" w:cs="Arial" w:eastAsia="Arial" w:hAnsi="Arial"/>
          <w:color w:val="0E0B07"/>
          <w:sz w:val="22"/>
          <w:szCs w:val="22"/>
        </w:rPr>
        <w:t xml:space="preserve">Life &amp; Values — children, extended family, religion, values alignment</w:t>
      </w:r>
    </w:p>
    <w:p>
      <w:pPr>
        <w:spacing w:after="200" w:before="0"/>
      </w:pPr>
    </w:p>
    <w:p>
      <w:pPr>
        <w:pStyle w:val="Heading2"/>
        <w:spacing w:after="80" w:before="280"/>
      </w:pPr>
      <w:r>
        <w:rPr>
          <w:rFonts w:ascii="Arial" w:cs="Arial" w:eastAsia="Arial" w:hAnsi="Arial"/>
          <w:b/>
          <w:bCs/>
          <w:color w:val="0E0B07"/>
          <w:sz w:val="26"/>
          <w:szCs w:val="26"/>
        </w:rPr>
        <w:t xml:space="preserve">Part 1: Life &amp; Values Questions</w:t>
      </w:r>
    </w:p>
    <w:p>
      <w:pPr>
        <w:spacing w:after="140" w:before="0"/>
      </w:pPr>
      <w:r>
        <w:rPr>
          <w:rFonts w:ascii="Arial" w:cs="Arial" w:eastAsia="Arial" w:hAnsi="Arial"/>
          <w:color w:val="0E0B07"/>
          <w:sz w:val="22"/>
          <w:szCs w:val="22"/>
        </w:rPr>
        <w:t xml:space="preserve">Before reaching the responsibility mapping, each partner answers a set of life and values questions covering topics like children, finances, aging parents, conflict style, and closeness. These questions use a multi-option format rather than a binary scale. Answers are compared directly; differences are flagged as areas worth exploring.</w:t>
      </w:r>
    </w:p>
    <w:p>
      <w:pPr>
        <w:pStyle w:val="Heading2"/>
        <w:spacing w:after="80" w:before="280"/>
      </w:pPr>
      <w:r>
        <w:rPr>
          <w:rFonts w:ascii="Arial" w:cs="Arial" w:eastAsia="Arial" w:hAnsi="Arial"/>
          <w:b/>
          <w:bCs/>
          <w:color w:val="0E0B07"/>
          <w:sz w:val="26"/>
          <w:szCs w:val="26"/>
        </w:rPr>
        <w:t xml:space="preserve">Part 2: Childhood Home Context</w:t>
      </w:r>
    </w:p>
    <w:p>
      <w:pPr>
        <w:spacing w:after="140" w:before="0"/>
      </w:pPr>
      <w:r>
        <w:rPr>
          <w:rFonts w:ascii="Arial" w:cs="Arial" w:eastAsia="Arial" w:hAnsi="Arial"/>
          <w:color w:val="0E0B07"/>
          <w:sz w:val="22"/>
          <w:szCs w:val="22"/>
        </w:rPr>
        <w:t xml:space="preserve">Each partner identifies the structure of their childhood home — two parents, single parent, same-sex parents, or other caregivers. This determines which column headers appear in the responsibility grid and is used to contextualise results: someone who grew up in a home where one adult handled everything develops different baseline assumptions than someone whose childhood home split tasks evenly. This context is displayed alongside the results to help both partners understand where their expectations come from.</w:t>
      </w:r>
    </w:p>
    <w:p>
      <w:pPr>
        <w:pStyle w:val="Heading2"/>
        <w:spacing w:after="80" w:before="280"/>
      </w:pPr>
      <w:r>
        <w:rPr>
          <w:rFonts w:ascii="Arial" w:cs="Arial" w:eastAsia="Arial" w:hAnsi="Arial"/>
          <w:b/>
          <w:bCs/>
          <w:color w:val="0E0B07"/>
          <w:sz w:val="26"/>
          <w:szCs w:val="26"/>
        </w:rPr>
        <w:t xml:space="preserve">Part 3: Responsibility Mapping</w:t>
      </w:r>
    </w:p>
    <w:p>
      <w:pPr>
        <w:spacing w:after="140" w:before="0"/>
      </w:pPr>
      <w:r>
        <w:rPr>
          <w:rFonts w:ascii="Arial" w:cs="Arial" w:eastAsia="Arial" w:hAnsi="Arial"/>
          <w:color w:val="0E0B07"/>
          <w:sz w:val="22"/>
          <w:szCs w:val="22"/>
        </w:rPr>
        <w:t xml:space="preserve">Each partner assigns every responsibility in a structured grid two answers: who handled it in their childhood home, and who they expect to handle it in their future home. The grid covers four categories: Visible Household, Financial, Career, and Emotional &amp; Invisible Labor. The Life &amp; Values category is handled separately through the questions in Part 1.</w:t>
      </w:r>
    </w:p>
    <w:p>
      <w:pPr>
        <w:pStyle w:val="Heading2"/>
        <w:spacing w:after="80" w:before="280"/>
      </w:pPr>
      <w:r>
        <w:rPr>
          <w:rFonts w:ascii="Arial" w:cs="Arial" w:eastAsia="Arial" w:hAnsi="Arial"/>
          <w:b/>
          <w:bCs/>
          <w:color w:val="0E0B07"/>
          <w:sz w:val="26"/>
          <w:szCs w:val="26"/>
        </w:rPr>
        <w:t xml:space="preserve">Alignment Scoring</w:t>
      </w:r>
    </w:p>
    <w:p>
      <w:pPr>
        <w:spacing w:after="140" w:before="0"/>
      </w:pPr>
      <w:r>
        <w:rPr>
          <w:rFonts w:ascii="Arial" w:cs="Arial" w:eastAsia="Arial" w:hAnsi="Arial"/>
          <w:color w:val="0E0B07"/>
          <w:sz w:val="22"/>
          <w:szCs w:val="22"/>
        </w:rPr>
        <w:t xml:space="preserve">For each item, the two partners’ future-home answers are compared. An item is scored as aligned when both partners give the same answer, or answers that are practically equivalent (for example, both selecting “Both of us” with the same detail). Mismatches count as unaligned.</w:t>
      </w:r>
    </w:p>
    <w:p>
      <w:pPr>
        <w:spacing w:after="140" w:before="0"/>
      </w:pPr>
      <w:r>
        <w:rPr>
          <w:rFonts w:ascii="Arial" w:cs="Arial" w:eastAsia="Arial" w:hAnsi="Arial"/>
          <w:color w:val="0E0B07"/>
          <w:sz w:val="22"/>
          <w:szCs w:val="22"/>
        </w:rPr>
        <w:t xml:space="preserve">The overall alignment percentage is the proportion of aligned items across the full responsibility grid. This percentage feeds directly into:</w:t>
      </w:r>
    </w:p>
    <w:p>
      <w:pPr>
        <w:pStyle w:val="ListParagraph"/>
        <w:numPr>
          <w:ilvl w:val="0"/>
          <w:numId w:val="2"/>
        </w:numPr>
        <w:spacing w:after="80" w:before="0"/>
      </w:pPr>
      <w:r>
        <w:rPr>
          <w:rFonts w:ascii="Arial" w:cs="Arial" w:eastAsia="Arial" w:hAnsi="Arial"/>
          <w:color w:val="0E0B07"/>
          <w:sz w:val="22"/>
          <w:szCs w:val="22"/>
        </w:rPr>
        <w:t xml:space="preserve">The Expectations overview card in results (the headline alignment figure)</w:t>
      </w:r>
    </w:p>
    <w:p>
      <w:pPr>
        <w:pStyle w:val="ListParagraph"/>
        <w:numPr>
          <w:ilvl w:val="0"/>
          <w:numId w:val="2"/>
        </w:numPr>
        <w:spacing w:after="80" w:before="0"/>
      </w:pPr>
      <w:r>
        <w:rPr>
          <w:rFonts w:ascii="Arial" w:cs="Arial" w:eastAsia="Arial" w:hAnsi="Arial"/>
          <w:color w:val="0E0B07"/>
          <w:sz w:val="22"/>
          <w:szCs w:val="22"/>
        </w:rPr>
        <w:t xml:space="preserve">The Expectations alignment bars across each category</w:t>
      </w:r>
    </w:p>
    <w:p>
      <w:pPr>
        <w:pStyle w:val="ListParagraph"/>
        <w:numPr>
          <w:ilvl w:val="0"/>
          <w:numId w:val="2"/>
        </w:numPr>
        <w:spacing w:after="80" w:before="0"/>
      </w:pPr>
      <w:r>
        <w:rPr>
          <w:rFonts w:ascii="Arial" w:cs="Arial" w:eastAsia="Arial" w:hAnsi="Arial"/>
          <w:color w:val="0E0B07"/>
          <w:sz w:val="22"/>
          <w:szCs w:val="22"/>
        </w:rPr>
        <w:t xml:space="preserve">The Couple Type engine as a secondary signal for the Aligned Foundation and Honest Work types</w:t>
      </w:r>
    </w:p>
    <w:p>
      <w:pPr>
        <w:spacing w:after="200" w:before="0"/>
      </w:pPr>
    </w:p>
    <w:p>
      <w:pPr>
        <w:spacing w:after="60" w:before="200"/>
      </w:pPr>
      <w:r>
        <w:rPr>
          <w:rFonts w:ascii="Arial" w:cs="Arial" w:eastAsia="Arial" w:hAnsi="Arial"/>
          <w:b/>
          <w:bCs/>
          <w:color w:val="E8673A"/>
          <w:sz w:val="22"/>
          <w:szCs w:val="22"/>
        </w:rPr>
        <w:t xml:space="preserve">Childhood Context in Results</w:t>
      </w:r>
    </w:p>
    <w:p>
      <w:pPr>
        <w:spacing w:after="140" w:before="0"/>
      </w:pPr>
      <w:r>
        <w:rPr>
          <w:rFonts w:ascii="Arial" w:cs="Arial" w:eastAsia="Arial" w:hAnsi="Arial"/>
          <w:color w:val="0E0B07"/>
          <w:sz w:val="22"/>
          <w:szCs w:val="22"/>
        </w:rPr>
        <w:t xml:space="preserve">Where a responsibility shows a mismatch, the results surface both partners’ childhood answers alongside their future expectations. This framing helps couples move from “why do you want that?” to “where does that expectation come from?” — a more productive starting point for most of these conversations.</w:t>
      </w:r>
    </w:p>
    <w:p>
      <w:pPr>
        <w:spacing w:after="200" w:before="0"/>
      </w:pPr>
    </w:p>
    <w:p>
      <w:pPr>
        <w:pStyle w:val="Heading1"/>
        <w:spacing w:after="120" w:before="360"/>
      </w:pPr>
      <w:r>
        <w:rPr>
          <w:rFonts w:ascii="Arial" w:cs="Arial" w:eastAsia="Arial" w:hAnsi="Arial"/>
          <w:b/>
          <w:bCs/>
          <w:color w:val="0E0B07"/>
          <w:sz w:val="32"/>
          <w:szCs w:val="32"/>
        </w:rPr>
        <w:t xml:space="preserve">The 25 Couple Types</w:t>
      </w:r>
    </w:p>
    <w:p>
      <w:pPr>
        <w:spacing w:after="140" w:before="0"/>
      </w:pPr>
      <w:r>
        <w:rPr>
          <w:rFonts w:ascii="Arial" w:cs="Arial" w:eastAsia="Arial" w:hAnsi="Arial"/>
          <w:color w:val="0E0B07"/>
          <w:sz w:val="22"/>
          <w:szCs w:val="22"/>
        </w:rPr>
        <w:t xml:space="preserve">The 25 types span five primary clusters, each representing a different axis of couple variation. Types within a cluster share a common defining pattern but differ in specific ways that produce meaningfully different dynamics and action plans.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Cluster</w:t>
            </w:r>
          </w:p>
        </w:tc>
        <w:tc>
          <w:tcPr>
            <w:tcW w:type="dxa" w:w="6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8"/>
                <w:szCs w:val="18"/>
              </w:rPr>
              <w:t xml:space="preserve">Types in cluster</w:t>
            </w:r>
          </w:p>
        </w:tc>
      </w:tr>
      <w:tr>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Energy &amp; social rhythm</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The Full Room, The Quiet Depth, The Spark &amp; The Ground</w:t>
            </w:r>
          </w:p>
        </w:tc>
      </w:tr>
      <w:tr>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Expression &amp; communication style</w:t>
            </w:r>
          </w:p>
        </w:tc>
        <w:tc>
          <w:tcPr>
            <w:tcW w:type="dxa" w:w="6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The Open Books, The Reserved Pair, The Open &amp; The Guarded, The Head &amp; The Heart, The Analytical Pair, The Attuned Pair, The Translator</w:t>
            </w:r>
          </w:p>
        </w:tc>
      </w:tr>
      <w:tr>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Conflict &amp; repair</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The Fast Repairers, The Space-Takers, The Bridge</w:t>
            </w:r>
          </w:p>
        </w:tc>
      </w:tr>
      <w:tr>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Closeness &amp; independence</w:t>
            </w:r>
          </w:p>
        </w:tc>
        <w:tc>
          <w:tcPr>
            <w:tcW w:type="dxa" w:w="6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0E0B07"/>
                <w:sz w:val="18"/>
                <w:szCs w:val="18"/>
              </w:rPr>
              <w:t xml:space="preserve">The Close Pair, The Two Solitudes, The Reach &amp; The Retreat</w:t>
            </w:r>
          </w:p>
        </w:tc>
      </w:tr>
      <w:tr>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Overall pairing pattern</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E0B07"/>
                <w:sz w:val="18"/>
                <w:szCs w:val="18"/>
              </w:rPr>
              <w:t xml:space="preserve">The Mirror, The Steady Pair, The Complement, The Full Spectrum, The Planners, The Open Road, The Planner &amp; The Free Spirit, The Aligned Foundation, The Honest Work</w:t>
            </w:r>
          </w:p>
        </w:tc>
      </w:tr>
    </w:tbl>
    <w:p>
      <w:pPr>
        <w:spacing w:after="200" w:before="0"/>
      </w:pPr>
    </w:p>
    <w:p>
      <w:pPr>
        <w:spacing w:after="140" w:before="0"/>
      </w:pPr>
      <w:r>
        <w:rPr>
          <w:rFonts w:ascii="Arial" w:cs="Arial" w:eastAsia="Arial" w:hAnsi="Arial"/>
          <w:color w:val="0E0B07"/>
          <w:sz w:val="22"/>
          <w:szCs w:val="22"/>
        </w:rPr>
        <w:t xml:space="preserve">Each type produces a named result with a tagline, description, nuance note, characteristic patterns, potential sticking points, and three specific action plan items tailored to that type’s dynamics.</w:t>
      </w:r>
    </w:p>
    <w:p>
      <w:pPr>
        <w:spacing w:after="200" w:before="0"/>
      </w:pPr>
    </w:p>
    <w:p>
      <w:pPr>
        <w:pStyle w:val="Heading1"/>
        <w:spacing w:after="120" w:before="360"/>
      </w:pPr>
      <w:r>
        <w:rPr>
          <w:rFonts w:ascii="Arial" w:cs="Arial" w:eastAsia="Arial" w:hAnsi="Arial"/>
          <w:b/>
          <w:bCs/>
          <w:color w:val="0E0B07"/>
          <w:sz w:val="32"/>
          <w:szCs w:val="32"/>
        </w:rPr>
        <w:t xml:space="preserve">Design Principles</w:t>
      </w:r>
    </w:p>
    <w:p>
      <w:pPr>
        <w:pStyle w:val="Heading2"/>
        <w:spacing w:after="80" w:before="280"/>
      </w:pPr>
      <w:r>
        <w:rPr>
          <w:rFonts w:ascii="Arial" w:cs="Arial" w:eastAsia="Arial" w:hAnsi="Arial"/>
          <w:b/>
          <w:bCs/>
          <w:color w:val="0E0B07"/>
          <w:sz w:val="26"/>
          <w:szCs w:val="26"/>
        </w:rPr>
        <w:t xml:space="preserve">The 50-question foundation is primary</w:t>
      </w:r>
    </w:p>
    <w:p>
      <w:pPr>
        <w:spacing w:after="140" w:before="0"/>
      </w:pPr>
      <w:r>
        <w:rPr>
          <w:rFonts w:ascii="Arial" w:cs="Arial" w:eastAsia="Arial" w:hAnsi="Arial"/>
          <w:color w:val="0E0B07"/>
          <w:sz w:val="22"/>
          <w:szCs w:val="22"/>
        </w:rPr>
        <w:t xml:space="preserve">The individual inventory is the core measurement instrument. It is calibrated, consistent, and produces comparable scores across all couples. The couple-level questions and expectation alignment data are secondary signals that refine or contextualise the primary result — they never override it without meeting a high evidentiary threshold.</w:t>
      </w:r>
    </w:p>
    <w:p>
      <w:pPr>
        <w:pStyle w:val="Heading2"/>
        <w:spacing w:after="80" w:before="280"/>
      </w:pPr>
      <w:r>
        <w:rPr>
          <w:rFonts w:ascii="Arial" w:cs="Arial" w:eastAsia="Arial" w:hAnsi="Arial"/>
          <w:b/>
          <w:bCs/>
          <w:color w:val="0E0B07"/>
          <w:sz w:val="26"/>
          <w:szCs w:val="26"/>
        </w:rPr>
        <w:t xml:space="preserve">Types reflect patterns, not personalities</w:t>
      </w:r>
    </w:p>
    <w:p>
      <w:pPr>
        <w:spacing w:after="140" w:before="0"/>
      </w:pPr>
      <w:r>
        <w:rPr>
          <w:rFonts w:ascii="Arial" w:cs="Arial" w:eastAsia="Arial" w:hAnsi="Arial"/>
          <w:color w:val="0E0B07"/>
          <w:sz w:val="22"/>
          <w:szCs w:val="22"/>
        </w:rPr>
        <w:t xml:space="preserve">No type is better or worse than another. The framework describes how two people’s individual wiring produces a shared dynamic, not a judgment of either person’s character. Types are intended to be legible and useful, not definitional.</w:t>
      </w:r>
    </w:p>
    <w:p>
      <w:pPr>
        <w:pStyle w:val="Heading2"/>
        <w:spacing w:after="80" w:before="280"/>
      </w:pPr>
      <w:r>
        <w:rPr>
          <w:rFonts w:ascii="Arial" w:cs="Arial" w:eastAsia="Arial" w:hAnsi="Arial"/>
          <w:b/>
          <w:bCs/>
          <w:color w:val="0E0B07"/>
          <w:sz w:val="26"/>
          <w:szCs w:val="26"/>
        </w:rPr>
        <w:t xml:space="preserve">Both people’s data is always required</w:t>
      </w:r>
    </w:p>
    <w:p>
      <w:pPr>
        <w:spacing w:after="140" w:before="0"/>
      </w:pPr>
      <w:r>
        <w:rPr>
          <w:rFonts w:ascii="Arial" w:cs="Arial" w:eastAsia="Arial" w:hAnsi="Arial"/>
          <w:color w:val="0E0B07"/>
          <w:sz w:val="22"/>
          <w:szCs w:val="22"/>
        </w:rPr>
        <w:t xml:space="preserve">No couple type, dimension gap, or expectation alignment can be calculated from one person’s data alone. The entire results experience requires both partners to complete their exercises independently before any output is generated. This is a deliberate design constraint: the point is what emerges from the comparison, not from either person individually.</w:t>
      </w:r>
    </w:p>
    <w:p>
      <w:pPr>
        <w:pStyle w:val="Heading2"/>
        <w:spacing w:after="80" w:before="280"/>
      </w:pPr>
      <w:r>
        <w:rPr>
          <w:rFonts w:ascii="Arial" w:cs="Arial" w:eastAsia="Arial" w:hAnsi="Arial"/>
          <w:b/>
          <w:bCs/>
          <w:color w:val="0E0B07"/>
          <w:sz w:val="26"/>
          <w:szCs w:val="26"/>
        </w:rPr>
        <w:t xml:space="preserve">Results are surfaced, not prescribed</w:t>
      </w:r>
    </w:p>
    <w:p>
      <w:pPr>
        <w:spacing w:after="140" w:before="0"/>
      </w:pPr>
      <w:r>
        <w:rPr>
          <w:rFonts w:ascii="Arial" w:cs="Arial" w:eastAsia="Arial" w:hAnsi="Arial"/>
          <w:color w:val="0E0B07"/>
          <w:sz w:val="22"/>
          <w:szCs w:val="22"/>
        </w:rPr>
        <w:t xml:space="preserve">Attune’s output is designed to start conversations, not end them. The action plans, conversation prompts, and dimension breakdowns are entry points. What couples do with them is their own.</w:t>
      </w:r>
    </w:p>
    <w:p>
      <w:pPr>
        <w:spacing w:after="200" w:before="0"/>
      </w:pPr>
    </w:p>
    <w:p>
      <w:pPr>
        <w:pBdr>
          <w:bottom w:val="single" w:color="E8DDD0" w:sz="4" w:space="1"/>
        </w:pBdr>
        <w:spacing w:after="160" w:before="160"/>
      </w:pPr>
    </w:p>
    <w:p>
      <w:pPr>
        <w:spacing w:after="0" w:before="120"/>
      </w:pPr>
      <w:r>
        <w:rPr>
          <w:rFonts w:ascii="Arial" w:cs="Arial" w:eastAsia="Arial" w:hAnsi="Arial"/>
          <w:color w:val="8C7A68"/>
          <w:sz w:val="18"/>
          <w:szCs w:val="18"/>
        </w:rPr>
        <w:t xml:space="preserve">Attune • attune-relationships.com • hello@attune-relationships.com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E0B0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E0B0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2026-03-27T19:03:57.344Z</dcterms:created>
  <dcterms:modified xsi:type="dcterms:W3CDTF">2026-03-27T19:03:57.345Z</dcterms:modified>
</cp:coreProperties>
</file>

<file path=docProps/custom.xml><?xml version="1.0" encoding="utf-8"?>
<Properties xmlns="http://schemas.openxmlformats.org/officeDocument/2006/custom-properties" xmlns:vt="http://schemas.openxmlformats.org/officeDocument/2006/docPropsVTypes"/>
</file>