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394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color w:val="111111"/>
          <w:sz w:val="34"/>
        </w:rPr>
        <w:t>Adaptive Speculative Decoding under Heterogeneous Draft</w:t>
      </w:r>
    </w:p>
    <w:p>
      <w:pPr>
        <w:keepNext/>
        <w:spacing w:before="26" w:after="0" w:lineRule="exact" w:line="394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color w:val="111111"/>
          <w:sz w:val="34"/>
        </w:rPr>
        <w:t>Models</w:t>
      </w:r>
    </w:p>
    <w:p>
      <w:pPr>
        <w:spacing w:before="184" w:after="0" w:lineRule="exact" w:line="29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1F2937"/>
          <w:sz w:val="22"/>
        </w:rPr>
        <w:t xml:space="preserve">Priya Raman Diego Álvarez Hannah Cole </w:t>
      </w:r>
      <w:r>
        <w:rPr>
          <w:rFonts w:ascii="Times New Roman" w:hAnsi="Times New Roman" w:cs="Times New Roman" w:eastAsia="Times New Roman"/>
          <w:b w:val="0"/>
          <w:i/>
          <w:color w:val="444444"/>
          <w:sz w:val="19"/>
        </w:rPr>
        <w:t>Institute for Efficient Computation, Basel</w:t>
      </w:r>
    </w:p>
    <w:p>
      <w:pPr>
        <w:spacing w:before="0" w:after="0" w:lineRule="exact" w:line="1576"/>
      </w:pPr>
      <w:r>
        <w:rPr>
          <w:sz w:val="2"/>
        </w:rPr>
      </w:r>
    </w:p>
    <w:p>
      <w:pPr>
        <w:sectPr>
          <w:footerReference w:type="default" r:id="rId9"/>
          <w:pgSz w:w="12240" w:h="15840"/>
          <w:pgMar w:top="1298" w:right="1285" w:bottom="1012" w:left="1285" w:header="720" w:footer="682" w:gutter="0"/>
          <w:cols w:num="1"/>
          <w:docGrid w:linePitch="360"/>
        </w:sectPr>
        <w:spacing w:before="0" w:after="0" w:line="20" w:lineRule="exact"/>
      </w:pPr>
    </w:p>
    <w:p>
      <w:pPr>
        <w:keepNext/>
        <w:spacing w:before="0" w:after="0" w:lineRule="exact" w:line="266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111111"/>
          <w:sz w:val="23"/>
        </w:rPr>
        <w:t>Abstract</w:t>
      </w:r>
    </w:p>
    <w:p>
      <w:pPr>
        <w:spacing w:before="70" w:after="0" w:lineRule="exact" w:line="230"/>
        <w:ind w:left="6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 xml:space="preserve">Speculative decoding accelerates autoregressive generation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 xml:space="preserve">by drafting tokens with a small model and verifying them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 xml:space="preserve">with a large one. Fixed draft models, however, leave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 xml:space="preserve">acceptance rates on the table when input difficulty varies. We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 xml:space="preserve">introduce ASD, a router that selects among heterogeneous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 xml:space="preserve">draft models per segment using a lightweight difficulty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 xml:space="preserve">estimator. On a mixed workload, ASD improves throughput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 xml:space="preserve">by 1.9× over the best fixed draft while matching output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8"/>
        </w:rPr>
        <w:t>distributions exactly.</w:t>
      </w:r>
    </w:p>
    <w:p>
      <w:pPr>
        <w:keepNext/>
        <w:spacing w:before="224" w:after="0" w:lineRule="exact" w:line="266"/>
        <w:ind w:left="10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111111"/>
          <w:sz w:val="23"/>
        </w:rPr>
        <w:t>1 Introduction</w:t>
      </w:r>
    </w:p>
    <w:p>
      <w:pPr>
        <w:spacing w:before="68" w:after="0" w:lineRule="exact" w:line="24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Large-model inference remains dominated by sequential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token generation. Speculative methods amortize this cost,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but their benefit hinges on the acceptance rate of drafted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tokens, which varies sharply with content difficulty. Prior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work fixes a single draft model ahead of time, implicitly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>assuming difficulty is stationary. It is not.</w:t>
      </w:r>
    </w:p>
    <w:p>
      <w:pPr>
        <w:spacing w:before="100" w:after="0" w:lineRule="exact" w:line="24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We observe that acceptance traces exhibit regime shifts at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segment boundaries — code blocks, tables, and quoted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material each favor different drafters. This motivates a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>per-segment routing decision.</w:t>
      </w:r>
    </w:p>
    <w:p>
      <w:pPr>
        <w:keepNext/>
        <w:spacing w:before="226" w:after="0" w:lineRule="exact" w:line="266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111111"/>
          <w:sz w:val="23"/>
        </w:rPr>
        <w:t>2 Method</w:t>
      </w:r>
    </w:p>
    <w:p>
      <w:pPr>
        <w:spacing w:before="68" w:after="0" w:lineRule="exact" w:line="24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ASD maintains a pool of draft models spanning three size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classes. A difficulty estimator computes features from the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last 64 accepted tokens: entropy of the verifier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distribution, token rarity, and structural cues. A bandit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policy maps the feature vector to a drafter, updating its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>estimates from observed acceptance.</w:t>
      </w:r>
    </w:p>
    <w:p>
      <w:pPr>
        <w:spacing w:before="100" w:after="0" w:lineRule="exact" w:line="244"/>
        <w:ind w:left="2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Crucially, verification is unchanged, so the sampled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distribution is identical to standard decoding. The router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>adds 0.3% overhead.</w:t>
      </w:r>
    </w:p>
    <w:p>
      <w:pPr>
        <w:spacing w:before="0" w:after="0" w:lineRule="exact" w:line="20"/>
      </w:pPr>
      <w:r>
        <w:br w:type="column"/>
      </w:r>
    </w:p>
    <w:p>
      <w:pPr>
        <w:spacing w:before="56" w:after="0" w:lineRule="atLeast" w:line="2646"/>
        <w:jc w:val="center"/>
      </w:pPr>
      <w:r>
        <w:drawing>
          <wp:inline xmlns:a="http://schemas.openxmlformats.org/drawingml/2006/main" xmlns:pic="http://schemas.openxmlformats.org/drawingml/2006/picture">
            <wp:extent cx="2365666" cy="168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5666" cy="168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18" w:after="0" w:lineRule="exact" w:line="266"/>
        <w:ind w:left="4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111111"/>
          <w:sz w:val="23"/>
        </w:rPr>
        <w:t>3 Results</w:t>
      </w:r>
    </w:p>
    <w:p>
      <w:pPr>
        <w:spacing w:before="68" w:after="0" w:lineRule="exact" w:line="244"/>
        <w:ind w:left="6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Table 1 reports throughput and acceptance across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workloads. ASD dominates fixed drafters on mixed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content and is never worse than the best fixed choice by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>more than 2%.</w:t>
      </w:r>
    </w:p>
    <w:p>
      <w:pPr>
        <w:spacing w:before="0" w:after="0" w:lineRule="exact" w:line="15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463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96"/>
        <w:gridCol w:w="1368"/>
        <w:gridCol w:w="892"/>
        <w:gridCol w:w="1080"/>
      </w:tblGrid>
      <w:tr>
        <w:tc>
          <w:tcPr>
            <w:tcW w:w="1296" w:type="dxa"/>
            <w:tcBorders>
              <w:top w:val="single" w:sz="7" w:space="0" w:color="111111"/>
              <w:left w:val="nil"/>
              <w:bottom w:val="single" w:sz="4" w:space="0" w:color="111111"/>
              <w:right w:val="nil"/>
            </w:tcBorders>
            <w:tcMar>
              <w:top w:w="86" w:type="dxa"/>
              <w:left w:w="140" w:type="dxa"/>
              <w:bottom w:w="94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 xml:space="preserve">Workload </w:t>
            </w:r>
          </w:p>
        </w:tc>
        <w:tc>
          <w:tcPr>
            <w:tcW w:w="1368" w:type="dxa"/>
            <w:tcBorders>
              <w:top w:val="single" w:sz="7" w:space="0" w:color="111111"/>
              <w:left w:val="nil"/>
              <w:bottom w:val="single" w:sz="4" w:space="0" w:color="111111"/>
              <w:right w:val="nil"/>
            </w:tcBorders>
            <w:tcMar>
              <w:top w:w="86" w:type="dxa"/>
              <w:left w:w="410" w:type="dxa"/>
              <w:bottom w:w="94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 xml:space="preserve">Best fixed </w:t>
            </w:r>
          </w:p>
        </w:tc>
        <w:tc>
          <w:tcPr>
            <w:tcW w:w="892" w:type="dxa"/>
            <w:tcBorders>
              <w:top w:val="single" w:sz="7" w:space="0" w:color="111111"/>
              <w:left w:val="nil"/>
              <w:bottom w:val="single" w:sz="4" w:space="0" w:color="111111"/>
              <w:right w:val="nil"/>
            </w:tcBorders>
            <w:tcMar>
              <w:top w:w="86" w:type="dxa"/>
              <w:left w:w="236" w:type="dxa"/>
              <w:bottom w:w="94" w:type="dxa"/>
              <w:right w:w="20" w:type="dxa"/>
            </w:tcMar>
          </w:tcPr>
          <w:p>
            <w:pPr>
              <w:spacing w:before="0" w:after="0" w:lineRule="exact" w:line="198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 xml:space="preserve">ASD </w:t>
            </w:r>
          </w:p>
        </w:tc>
        <w:tc>
          <w:tcPr>
            <w:tcW w:w="1080" w:type="dxa"/>
            <w:tcBorders>
              <w:top w:val="single" w:sz="7" w:space="0" w:color="111111"/>
              <w:left w:val="nil"/>
              <w:bottom w:val="single" w:sz="4" w:space="0" w:color="111111"/>
              <w:right w:val="nil"/>
            </w:tcBorders>
            <w:tcMar>
              <w:top w:w="86" w:type="dxa"/>
              <w:left w:w="264" w:type="dxa"/>
              <w:bottom w:w="94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7"/>
              </w:rPr>
              <w:t>∆</w:t>
            </w:r>
          </w:p>
        </w:tc>
      </w:tr>
      <w:tr>
        <w:tc>
          <w:tcPr>
            <w:tcW w:w="1296" w:type="dxa"/>
            <w:tcBorders>
              <w:top w:val="single" w:sz="4" w:space="0" w:color="111111"/>
              <w:left w:val="nil"/>
              <w:bottom w:val="nil"/>
              <w:right w:val="nil"/>
            </w:tcBorders>
            <w:tcMar>
              <w:top w:w="68" w:type="dxa"/>
              <w:left w:w="140" w:type="dxa"/>
              <w:bottom w:w="86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Prose </w:t>
            </w:r>
          </w:p>
        </w:tc>
        <w:tc>
          <w:tcPr>
            <w:tcW w:w="1368" w:type="dxa"/>
            <w:tcBorders>
              <w:top w:val="single" w:sz="4" w:space="0" w:color="111111"/>
              <w:left w:val="nil"/>
              <w:bottom w:val="nil"/>
              <w:right w:val="nil"/>
            </w:tcBorders>
            <w:tcMar>
              <w:top w:w="68" w:type="dxa"/>
              <w:left w:w="426" w:type="dxa"/>
              <w:bottom w:w="86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1.42× </w:t>
            </w:r>
          </w:p>
        </w:tc>
        <w:tc>
          <w:tcPr>
            <w:tcW w:w="892" w:type="dxa"/>
            <w:tcBorders>
              <w:top w:val="single" w:sz="4" w:space="0" w:color="111111"/>
              <w:left w:val="nil"/>
              <w:bottom w:val="nil"/>
              <w:right w:val="nil"/>
            </w:tcBorders>
            <w:tcMar>
              <w:top w:w="68" w:type="dxa"/>
              <w:left w:w="254" w:type="dxa"/>
              <w:bottom w:w="86" w:type="dxa"/>
              <w:right w:w="20" w:type="dxa"/>
            </w:tcMar>
          </w:tcPr>
          <w:p>
            <w:pPr>
              <w:spacing w:before="0" w:after="0" w:lineRule="exact" w:line="198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1.51× </w:t>
            </w:r>
          </w:p>
        </w:tc>
        <w:tc>
          <w:tcPr>
            <w:tcW w:w="1080" w:type="dxa"/>
            <w:tcBorders>
              <w:top w:val="single" w:sz="4" w:space="0" w:color="111111"/>
              <w:left w:val="nil"/>
              <w:bottom w:val="nil"/>
              <w:right w:val="nil"/>
            </w:tcBorders>
            <w:tcMar>
              <w:top w:w="68" w:type="dxa"/>
              <w:left w:w="266" w:type="dxa"/>
              <w:bottom w:w="86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+6%</w:t>
            </w:r>
          </w:p>
        </w:tc>
      </w:tr>
      <w:tr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tcMar>
              <w:top w:w="76" w:type="dxa"/>
              <w:left w:w="144" w:type="dxa"/>
              <w:bottom w:w="86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Code </w:t>
            </w:r>
          </w:p>
        </w:tc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tcMar>
              <w:top w:w="76" w:type="dxa"/>
              <w:left w:w="426" w:type="dxa"/>
              <w:bottom w:w="86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1.66× </w:t>
            </w:r>
          </w:p>
        </w:tc>
        <w:tc>
          <w:tcPr>
            <w:tcW w:w="892" w:type="dxa"/>
            <w:tcBorders>
              <w:top w:val="nil"/>
              <w:left w:val="nil"/>
              <w:bottom w:val="nil"/>
              <w:right w:val="nil"/>
            </w:tcBorders>
            <w:tcMar>
              <w:top w:w="76" w:type="dxa"/>
              <w:left w:w="254" w:type="dxa"/>
              <w:bottom w:w="86" w:type="dxa"/>
              <w:right w:w="20" w:type="dxa"/>
            </w:tcMar>
          </w:tcPr>
          <w:p>
            <w:pPr>
              <w:spacing w:before="0" w:after="0" w:lineRule="exact" w:line="198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1.83× 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76" w:type="dxa"/>
              <w:left w:w="266" w:type="dxa"/>
              <w:bottom w:w="86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+10%</w:t>
            </w:r>
          </w:p>
        </w:tc>
      </w:tr>
      <w:tr>
        <w:tc>
          <w:tcPr>
            <w:tcW w:w="1296" w:type="dxa"/>
            <w:tcBorders>
              <w:top w:val="nil"/>
              <w:left w:val="nil"/>
              <w:bottom w:val="single" w:sz="7" w:space="0" w:color="111111"/>
              <w:right w:val="nil"/>
            </w:tcBorders>
            <w:tcMar>
              <w:top w:w="76" w:type="dxa"/>
              <w:left w:w="140" w:type="dxa"/>
              <w:bottom w:w="112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Mixed </w:t>
            </w:r>
          </w:p>
        </w:tc>
        <w:tc>
          <w:tcPr>
            <w:tcW w:w="1368" w:type="dxa"/>
            <w:tcBorders>
              <w:top w:val="nil"/>
              <w:left w:val="nil"/>
              <w:bottom w:val="single" w:sz="7" w:space="0" w:color="111111"/>
              <w:right w:val="nil"/>
            </w:tcBorders>
            <w:tcMar>
              <w:top w:w="76" w:type="dxa"/>
              <w:left w:w="426" w:type="dxa"/>
              <w:bottom w:w="112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1.31× </w:t>
            </w:r>
          </w:p>
        </w:tc>
        <w:tc>
          <w:tcPr>
            <w:tcW w:w="892" w:type="dxa"/>
            <w:tcBorders>
              <w:top w:val="nil"/>
              <w:left w:val="nil"/>
              <w:bottom w:val="single" w:sz="7" w:space="0" w:color="111111"/>
              <w:right w:val="nil"/>
            </w:tcBorders>
            <w:tcMar>
              <w:top w:w="76" w:type="dxa"/>
              <w:left w:w="254" w:type="dxa"/>
              <w:bottom w:w="112" w:type="dxa"/>
              <w:right w:w="20" w:type="dxa"/>
            </w:tcMar>
          </w:tcPr>
          <w:p>
            <w:pPr>
              <w:spacing w:before="0" w:after="0" w:lineRule="exact" w:line="198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1.90× 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7" w:space="0" w:color="111111"/>
              <w:right w:val="nil"/>
            </w:tcBorders>
            <w:tcMar>
              <w:top w:w="76" w:type="dxa"/>
              <w:left w:w="266" w:type="dxa"/>
              <w:bottom w:w="112" w:type="dxa"/>
              <w:right w:w="2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+45%</w:t>
            </w:r>
          </w:p>
        </w:tc>
      </w:tr>
    </w:tbl>
    <w:p>
      <w:pPr>
        <w:spacing w:before="50" w:after="0" w:lineRule="exact" w:line="186"/>
        <w:jc w:val="center"/>
      </w:pPr>
      <w:r>
        <w:rPr>
          <w:rFonts w:ascii="Times New Roman" w:hAnsi="Times New Roman" w:cs="Times New Roman" w:eastAsia="Times New Roman"/>
          <w:b w:val="0"/>
          <w:i/>
          <w:color w:val="1F2937"/>
          <w:sz w:val="16"/>
        </w:rPr>
        <w:t>Table 1: Throughput vs. the best fixed draft model.</w:t>
      </w:r>
    </w:p>
    <w:p>
      <w:pPr>
        <w:keepNext/>
        <w:spacing w:before="218" w:after="0" w:lineRule="exact" w:line="266"/>
        <w:ind w:left="6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111111"/>
          <w:sz w:val="23"/>
        </w:rPr>
        <w:t>4 Related Work</w:t>
      </w:r>
    </w:p>
    <w:p>
      <w:pPr>
        <w:spacing w:before="68" w:after="0" w:lineRule="exact" w:line="244"/>
        <w:ind w:left="12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Speculative decoding builds on rejection-sampling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equivalence results; subsequent variants explore tree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drafting, self-drafting, and early exit. Router-based model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selection appears in serving literature but has not been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>applied per-segment within a single generation.</w:t>
      </w:r>
    </w:p>
    <w:p>
      <w:pPr>
        <w:keepNext/>
        <w:spacing w:before="226" w:after="0" w:lineRule="exact" w:line="266"/>
        <w:ind w:left="8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111111"/>
          <w:sz w:val="23"/>
        </w:rPr>
        <w:t>5 Conclusion</w:t>
      </w:r>
    </w:p>
    <w:p>
      <w:pPr>
        <w:spacing w:before="68" w:after="0" w:lineRule="exact" w:line="244"/>
        <w:ind w:left="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Difficulty-aware routing recovers headroom that fixed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 xml:space="preserve">draft models leave behind, with no distributional cost.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9"/>
        </w:rPr>
        <w:t>Future work extends the estimator to multimodal inputs.</w:t>
      </w:r>
    </w:p>
    <w:p>
      <w:pPr>
        <w:keepNext/>
        <w:spacing w:before="226" w:after="0" w:lineRule="exact" w:line="266"/>
        <w:ind w:left="4"/>
        <w:jc w:val="left"/>
        <w:outlineLvl w:val="1"/>
      </w:pPr>
      <w:r>
        <w:rPr>
          <w:rFonts w:ascii="Times New Roman" w:hAnsi="Times New Roman" w:cs="Times New Roman" w:eastAsia="Times New Roman"/>
          <w:b/>
          <w:i w:val="0"/>
          <w:color w:val="111111"/>
          <w:sz w:val="23"/>
        </w:rPr>
        <w:t>References</w:t>
      </w:r>
    </w:p>
    <w:p>
      <w:pPr>
        <w:sectPr>
          <w:type w:val="continuous"/>
          <w:pgSz w:w="12240" w:h="15840"/>
          <w:pgMar w:top="1298" w:right="1285" w:bottom="1012" w:left="1285" w:header="720" w:footer="682" w:gutter="0"/>
          <w:cols w:num="2" w:space="718" w:equalWidth="1"/>
          <w:docGrid w:linePitch="360"/>
        </w:sectPr>
        <w:spacing w:before="0" w:after="0" w:line="20" w:lineRule="exact"/>
      </w:pPr>
    </w:p>
    <w:p>
      <w:pPr>
        <w:spacing w:before="0" w:after="0" w:lineRule="exact" w:line="210"/>
        <w:ind w:left="8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111111"/>
          <w:sz w:val="17"/>
        </w:rPr>
        <w:t xml:space="preserve">[1] Raman, P. et al. Segment-aware inference schedulers. In Proc.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7"/>
        </w:rPr>
        <w:t xml:space="preserve">ESC, 2025.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7"/>
        </w:rPr>
        <w:t xml:space="preserve">[2] Álvarez, D. and Cole, H. Bandit routing for serving fleets. J.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7"/>
        </w:rPr>
        <w:t xml:space="preserve">Systems ML, 2024.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7"/>
        </w:rPr>
        <w:t xml:space="preserve">[3] Cole, H. Difficulty estimation from verifier entropy. </w:t>
      </w:r>
      <w:r>
        <w:rPr>
          <w:rFonts w:ascii="Times New Roman" w:hAnsi="Times New Roman" w:cs="Times New Roman" w:eastAsia="Times New Roman"/>
          <w:b w:val="0"/>
          <w:i w:val="0"/>
          <w:color w:val="111111"/>
          <w:sz w:val="17"/>
        </w:rPr>
        <w:t>Workshop on Eff. NLP, 2025.</w:t>
      </w:r>
    </w:p>
    <w:sectPr w:rsidR="00FC693F" w:rsidRPr="0006063C" w:rsidSect="00034616">
      <w:pgSz w:w="12240" w:h="15840"/>
      <w:pgMar w:top="1298" w:right="1285" w:bottom="1012" w:left="1285" w:header="720" w:footer="682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exact" w:line="208"/>
      <w:jc w:val="center"/>
    </w:pPr>
    <w:fldSimple w:instr=" PAGE ">
      <w:r>
        <w:rPr>
          <w:rFonts w:ascii="Times New Roman" w:hAnsi="Times New Roman" w:cs="Times New Roman" w:eastAsia="Times New Roman"/>
          <w:b w:val="0"/>
          <w:i w:val="0"/>
          <w:color w:val="1F2937"/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