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795"/>
      </w:tblGrid>
      <w:tr>
        <w:tc>
          <w:tcPr>
            <w:tcW w:w="9795" w:type="dxa"/>
            <w:shd w:val="clear" w:fill="BFBFBF"/>
            <w:tcBorders>
              <w:top w:val="nil"/>
              <w:left w:val="nil"/>
              <w:bottom w:val="nil"/>
              <w:right w:val="nil"/>
            </w:tcBorders>
            <w:tcMar>
              <w:top w:w="438" w:type="dxa"/>
              <w:left w:w="396" w:type="dxa"/>
              <w:bottom w:w="436" w:type="dxa"/>
              <w:right w:w="80" w:type="dxa"/>
            </w:tcMar>
          </w:tcPr>
          <w:p>
            <w:pPr>
              <w:spacing w:before="0" w:after="0" w:lineRule="exact" w:line="418"/>
              <w:jc w:val="left"/>
            </w:pPr>
            <w:r>
              <w:rPr>
                <w:rFonts w:ascii="Georgia" w:hAnsi="Georgia" w:cs="Georgia" w:eastAsia="Georgia"/>
                <w:b/>
                <w:i w:val="0"/>
                <w:color w:val="FFFFFF"/>
                <w:sz w:val="36"/>
              </w:rPr>
              <w:t>Gradient Band</w:t>
            </w:r>
          </w:p>
          <w:p>
            <w:pPr>
              <w:spacing w:before="84" w:after="0" w:lineRule="exact" w:line="244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FFFFFF"/>
                <w:sz w:val="21"/>
              </w:rPr>
              <w:t>Vector gradients have no OOXML paragraph equivalent.</w:t>
            </w:r>
          </w:p>
        </w:tc>
      </w:tr>
    </w:tbl>
    <w:p>
      <w:pPr>
        <w:keepNext/>
        <w:spacing w:before="394" w:after="0" w:lineRule="exact" w:line="324"/>
        <w:ind w:left="6"/>
        <w:jc w:val="left"/>
        <w:outlineLvl w:val="0"/>
      </w:pPr>
      <w:r>
        <w:rPr>
          <w:rFonts w:ascii="Arial" w:hAnsi="Arial" w:cs="Arial" w:eastAsia="Arial"/>
          <w:b/>
          <w:i w:val="0"/>
          <w:color w:val="123A5E"/>
          <w:sz w:val="28"/>
        </w:rPr>
        <w:t>Inline SVG chart</w:t>
      </w:r>
    </w:p>
    <w:p>
      <w:pPr>
        <w:spacing w:before="242" w:after="0" w:lineRule="atLeast" w:line="2772"/>
        <w:ind w:left="46"/>
        <w:jc w:val="left"/>
      </w:pPr>
      <w:r>
        <w:drawing>
          <wp:inline xmlns:a="http://schemas.openxmlformats.org/drawingml/2006/main" xmlns:pic="http://schemas.openxmlformats.org/drawingml/2006/picture">
            <wp:extent cx="4093438" cy="1759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3438" cy="1759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88" w:after="0" w:lineRule="atLeast" w:line="2098"/>
        <w:jc w:val="center"/>
      </w:pPr>
      <w:r>
        <w:drawing>
          <wp:inline xmlns:a="http://schemas.openxmlformats.org/drawingml/2006/main" xmlns:pic="http://schemas.openxmlformats.org/drawingml/2006/picture">
            <wp:extent cx="6281934" cy="13328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1934" cy="1332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754" w:after="0" w:lineRule="exact" w:line="324"/>
        <w:ind w:left="8"/>
        <w:jc w:val="left"/>
        <w:outlineLvl w:val="0"/>
      </w:pPr>
      <w:r>
        <w:rPr>
          <w:rFonts w:ascii="Arial" w:hAnsi="Arial" w:cs="Arial" w:eastAsia="Arial"/>
          <w:b/>
          <w:i w:val="0"/>
          <w:color w:val="123A5E"/>
          <w:sz w:val="28"/>
        </w:rPr>
        <w:t>Body after graphics</w:t>
      </w:r>
    </w:p>
    <w:p>
      <w:pPr>
        <w:spacing w:before="136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</w:t>
      </w:r>
    </w:p>
    <w:sectPr w:rsidR="00FC693F" w:rsidRPr="0006063C" w:rsidSect="00034616">
      <w:pgSz w:w="12240" w:h="15840"/>
      <w:pgMar w:top="1290" w:right="1243" w:bottom="1440" w:left="1243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