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2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80"/>
      </w:tblGrid>
      <w:tr>
        <w:tc>
          <w:tcPr>
            <w:tcW w:w="12080" w:type="dxa"/>
            <w:shd w:val="clear" w:fill="312E81"/>
            <w:tcBorders>
              <w:top w:val="nil"/>
              <w:left w:val="nil"/>
              <w:bottom w:val="single" w:sz="64" w:space="0" w:color="4F46E5"/>
              <w:right w:val="nil"/>
            </w:tcBorders>
            <w:tcMar>
              <w:top w:w="0" w:type="dxa"/>
              <w:left w:w="1120" w:type="dxa"/>
              <w:bottom w:w="754" w:type="dxa"/>
              <w:right w:w="0" w:type="dxa"/>
            </w:tcMar>
          </w:tcPr>
          <w:p>
            <w:pPr>
              <w:spacing w:before="1042" w:after="0" w:lineRule="exact" w:line="534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6"/>
              </w:rPr>
              <w:t>State of Agent Operations 2026</w:t>
            </w:r>
          </w:p>
          <w:p>
            <w:pPr>
              <w:spacing w:before="174" w:after="0" w:lineRule="exact" w:line="256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C7D2FE"/>
                <w:sz w:val="22"/>
              </w:rPr>
              <w:t>Executive brief — Northlight Research Group</w:t>
            </w:r>
          </w:p>
        </w:tc>
      </w:tr>
    </w:tbl>
    <w:p>
      <w:pPr>
        <w:keepNext/>
        <w:spacing w:before="696" w:after="0" w:lineRule="exact" w:line="360"/>
        <w:ind w:left="1120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Key Findings</w:t>
      </w:r>
    </w:p>
    <w:p>
      <w:pPr>
        <w:spacing w:before="100" w:after="0" w:lineRule="exact" w:line="300"/>
        <w:ind w:left="1120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Our third annual survey covers 412 organizations operating autonomous agents across customer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operations, engineering, and finance. Three numbers define the year:</w:t>
      </w:r>
    </w:p>
    <w:p>
      <w:pPr>
        <w:spacing w:before="0" w:after="0" w:lineRule="exact" w:line="3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600" w:type="dxa"/>
        <w:tblInd w:w="1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3200"/>
        <w:gridCol w:w="3200"/>
      </w:tblGrid>
      <w:tr>
        <w:tc>
          <w:tcPr>
            <w:tcW w:w="3200" w:type="dxa"/>
            <w:shd w:val="clear" w:fill="4F46E5"/>
            <w:tcBorders>
              <w:top w:val="nil"/>
              <w:left w:val="nil"/>
              <w:bottom w:val="nil"/>
              <w:right w:val="nil"/>
            </w:tcBorders>
            <w:tcMar>
              <w:top w:w="304" w:type="dxa"/>
              <w:left w:w="570" w:type="dxa"/>
              <w:bottom w:w="29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73%</w:t>
            </w:r>
          </w:p>
          <w:p>
            <w:pPr>
              <w:spacing w:before="24" w:after="0" w:lineRule="exact" w:line="22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 xml:space="preserve">of enterprises run agents in </w:t>
            </w: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production</w:t>
            </w:r>
          </w:p>
        </w:tc>
        <w:tc>
          <w:tcPr>
            <w:tcW w:w="3200" w:type="dxa"/>
            <w:shd w:val="clear" w:fill="7C3AED"/>
            <w:tcBorders>
              <w:top w:val="nil"/>
              <w:left w:val="nil"/>
              <w:bottom w:val="nil"/>
              <w:right w:val="nil"/>
            </w:tcBorders>
            <w:tcMar>
              <w:top w:w="414" w:type="dxa"/>
              <w:left w:w="414" w:type="dxa"/>
              <w:bottom w:w="40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4.8×</w:t>
            </w:r>
          </w:p>
          <w:p>
            <w:pPr>
              <w:spacing w:before="48" w:after="0" w:lineRule="exact" w:line="198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median ROI within the first year</w:t>
            </w:r>
          </w:p>
        </w:tc>
        <w:tc>
          <w:tcPr>
            <w:tcW w:w="3200" w:type="dxa"/>
            <w:shd w:val="clear" w:fill="6D28D9"/>
            <w:tcBorders>
              <w:top w:val="nil"/>
              <w:left w:val="nil"/>
              <w:bottom w:val="nil"/>
              <w:right w:val="nil"/>
            </w:tcBorders>
            <w:tcMar>
              <w:top w:w="414" w:type="dxa"/>
              <w:left w:w="220" w:type="dxa"/>
              <w:bottom w:w="40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29 d</w:t>
            </w:r>
          </w:p>
          <w:p>
            <w:pPr>
              <w:spacing w:before="48" w:after="0" w:lineRule="exact" w:line="198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average time from pilot to production</w:t>
            </w:r>
          </w:p>
        </w:tc>
      </w:tr>
    </w:tbl>
    <w:p>
      <w:pPr>
        <w:spacing w:before="234" w:after="0" w:lineRule="exact" w:line="300"/>
        <w:ind w:left="1120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gap between leaders and laggards is widening. Leaders standardize evaluation harnesses and treat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prompts as versioned artifacts; laggards still ship prompt changes without regression coverage.</w:t>
      </w:r>
    </w:p>
    <w:p>
      <w:pPr>
        <w:spacing w:before="0" w:after="0" w:lineRule="exact" w:line="36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158" w:type="dxa"/>
        <w:tblInd w:w="1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58"/>
      </w:tblGrid>
      <w:tr>
        <w:tc>
          <w:tcPr>
            <w:tcW w:w="9158" w:type="dxa"/>
            <w:tcBorders>
              <w:top w:val="nil"/>
              <w:left w:val="single" w:sz="12" w:space="0" w:color="7C3AED"/>
              <w:bottom w:val="nil"/>
              <w:right w:val="nil"/>
            </w:tcBorders>
            <w:tcMar>
              <w:top w:w="10" w:type="dxa"/>
              <w:left w:w="280" w:type="dxa"/>
              <w:bottom w:w="10" w:type="dxa"/>
              <w:right w:w="40" w:type="dxa"/>
            </w:tcMar>
          </w:tcPr>
          <w:p>
            <w:pPr>
              <w:spacing w:before="0" w:after="0" w:lineRule="exact" w:line="360"/>
              <w:jc w:val="both"/>
            </w:pPr>
            <w:r>
              <w:rPr>
                <w:rFonts w:ascii="Arial" w:hAnsi="Arial" w:cs="Arial" w:eastAsia="Arial"/>
                <w:b w:val="0"/>
                <w:i/>
                <w:color w:val="3730A3"/>
                <w:sz w:val="26"/>
              </w:rPr>
              <w:t xml:space="preserve">"The bottleneck moved from model quality to operational discipline in a single </w:t>
            </w:r>
            <w:r>
              <w:rPr>
                <w:rFonts w:ascii="Arial" w:hAnsi="Arial" w:cs="Arial" w:eastAsia="Arial"/>
                <w:b w:val="0"/>
                <w:i/>
                <w:color w:val="3730A3"/>
                <w:sz w:val="26"/>
              </w:rPr>
              <w:t>budget cycle."</w:t>
            </w:r>
          </w:p>
          <w:p>
            <w:pPr>
              <w:spacing w:before="134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6B7280"/>
                <w:sz w:val="18"/>
              </w:rPr>
              <w:t>— VP Platform Engineering, Fortune 100 retailer</w:t>
            </w:r>
          </w:p>
        </w:tc>
      </w:tr>
    </w:tbl>
    <w:p>
      <w:pPr>
        <w:keepNext/>
        <w:spacing w:before="616" w:after="0" w:lineRule="exact" w:line="360"/>
        <w:ind w:left="1120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Deployment Trajectory</w:t>
      </w:r>
    </w:p>
    <w:p>
      <w:pPr>
        <w:spacing w:before="98" w:after="0" w:lineRule="exact" w:line="300"/>
        <w:ind w:left="1120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Active deployments doubled in the trailing twelve months, with growth concentrated in mid-market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adopters:</w:t>
      </w:r>
    </w:p>
    <w:p>
      <w:pPr>
        <w:spacing w:before="374" w:after="0" w:lineRule="atLeast" w:line="3358"/>
        <w:ind w:left="1780"/>
        <w:jc w:val="left"/>
      </w:pPr>
      <w:r>
        <w:drawing>
          <wp:inline xmlns:a="http://schemas.openxmlformats.org/drawingml/2006/main" xmlns:pic="http://schemas.openxmlformats.org/drawingml/2006/picture">
            <wp:extent cx="4876863" cy="213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63" cy="213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2240" w:h="15840"/>
          <w:pgMar w:top="0" w:right="80" w:bottom="1236" w:left="80" w:header="0" w:footer="632" w:gutter="0"/>
          <w:cols w:num="1"/>
          <w:docGrid w:linePitch="360"/>
        </w:sectPr>
        <w:spacing w:before="0" w:after="0" w:line="20" w:lineRule="exact"/>
      </w:pPr>
    </w:p>
    <w:p>
      <w:pPr>
        <w:keepNext/>
        <w:spacing w:before="38" w:after="0" w:lineRule="exact" w:line="36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What Leaders Do Differently</w:t>
      </w:r>
    </w:p>
    <w:p>
      <w:pPr>
        <w:tabs>
          <w:tab w:pos="360" w:val="left"/>
        </w:tabs>
        <w:spacing w:before="156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Budget for evaluation infrastructure before scaling headcount.</w:t>
      </w:r>
    </w:p>
    <w:p>
      <w:pPr>
        <w:tabs>
          <w:tab w:pos="360" w:val="left"/>
        </w:tabs>
        <w:spacing w:before="18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Route by task value: premium models for revenue paths only.</w:t>
      </w:r>
    </w:p>
    <w:p>
      <w:pPr>
        <w:tabs>
          <w:tab w:pos="360" w:val="left"/>
        </w:tabs>
        <w:spacing w:before="18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Keep humans on exception queues, not approval queues.</w:t>
      </w:r>
    </w:p>
    <w:p>
      <w:pPr>
        <w:spacing w:before="260" w:after="0" w:lineRule="exact" w:line="24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Full methodology and cohort definitions: </w:t>
      </w:r>
      <w:hyperlink r:id="rId13">
        <w:r>
          <w:rPr>
            <w:rFonts w:ascii="Arial" w:hAnsi="Arial" w:cs="Arial" w:eastAsia="Arial"/>
            <w:b w:val="0"/>
            <w:i w:val="0"/>
            <w:color w:val="4F46E5"/>
            <w:sz w:val="21"/>
            <w:u w:val="single"/>
          </w:rPr>
          <w:t xml:space="preserve">northlight.example.org/agents-2026</w:t>
        </w:r>
      </w:hyperlink>
      <w:r>
        <w:rPr>
          <w:rFonts w:ascii="Arial" w:hAnsi="Arial" w:cs="Arial" w:eastAsia="Arial"/>
          <w:b w:val="0"/>
          <w:i w:val="0"/>
          <w:color w:val="1F2937"/>
          <w:sz w:val="21"/>
        </w:rPr>
        <w:t>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738" w:right="1200" w:bottom="1236" w:left="1200" w:header="720" w:footer="632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960" w:val="right"/>
      </w:tabs>
      <w:spacing w:before="0" w:after="0" w:lineRule="exact" w:line="186"/>
      <w:ind w:left="1120" w:right="1120"/>
      <w:jc w:val="left"/>
    </w:pPr>
    <w:r>
      <w:rPr>
        <w:rFonts w:ascii="Arial" w:hAnsi="Arial" w:cs="Arial" w:eastAsia="Arial"/>
        <w:b w:val="0"/>
        <w:i w:val="0"/>
        <w:color w:val="6B7280"/>
        <w:sz w:val="16"/>
      </w:rPr>
      <w:t>Northlight Research Group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/ </w:t>
    </w:r>
    <w:r>
      <w:rPr>
        <w:rFonts w:ascii="Arial" w:hAnsi="Arial" w:cs="Arial" w:eastAsia="Arial"/>
        <w:b w:val="0"/>
        <w:i w:val="0"/>
        <w:color w:val="6B7280"/>
        <w:sz w:val="16"/>
      </w:rPr>
      <w:t>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40" w:val="right"/>
      </w:tabs>
      <w:spacing w:before="0" w:after="0" w:lineRule="exact" w:line="186"/>
      <w:jc w:val="left"/>
    </w:pPr>
    <w:r>
      <w:rPr>
        <w:rFonts w:ascii="Arial" w:hAnsi="Arial" w:cs="Arial" w:eastAsia="Arial"/>
        <w:b w:val="0"/>
        <w:i w:val="0"/>
        <w:color w:val="6B7280"/>
        <w:sz w:val="16"/>
      </w:rPr>
      <w:t>Northlight Research Group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/ </w:t>
    </w:r>
    <w:r>
      <w:rPr>
        <w:rFonts w:ascii="Arial" w:hAnsi="Arial" w:cs="Arial" w:eastAsia="Arial"/>
        <w:b w:val="0"/>
        <w:i w:val="0"/>
        <w:color w:val="6B7280"/>
        <w:sz w:val="16"/>
      </w:rPr>
      <w:t>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4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yperlink" Target="https://northlight.example.org/agent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