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1987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987"/>
      </w:tblGrid>
      <w:tr>
        <w:tc>
          <w:tcPr>
            <w:tcW w:w="1198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34" w:type="dxa"/>
              <w:left w:w="1052" w:type="dxa"/>
              <w:bottom w:w="506" w:type="dxa"/>
              <w:right w:w="80" w:type="dxa"/>
            </w:tcMar>
          </w:tcPr>
          <w:p>
            <w:pPr>
              <w:spacing w:before="0" w:after="0" w:lineRule="exact" w:line="306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20"/>
              </w:rPr>
              <w:t xml:space="preserve">oduction RAG degrades quietly — and what to measure instead </w:t>
            </w:r>
            <w:r>
              <w:rPr>
                <w:rFonts w:ascii="Arial" w:hAnsi="Arial" w:cs="Arial" w:eastAsia="Arial"/>
                <w:b w:val="0"/>
                <w:i w:val="0"/>
                <w:color w:val="FFFFFF"/>
                <w:sz w:val="16"/>
              </w:rPr>
              <w:t xml:space="preserve"> Whitepaper · July 2026</w:t>
            </w:r>
          </w:p>
        </w:tc>
      </w:tr>
    </w:tbl>
    <w:p>
      <w:pPr>
        <w:keepNext/>
        <w:spacing w:before="350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1. Executive summary</w:t>
      </w:r>
    </w:p>
    <w:p>
      <w:pPr>
        <w:spacing w:before="120" w:after="0" w:lineRule="exact" w:line="266"/>
        <w:ind w:left="2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will not see it. 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counts, and the reranker has to be trained on the same distribution it will serve. Everything else is tuning.</w:t>
      </w:r>
    </w:p>
    <w:p>
      <w:pPr>
        <w:spacing w:before="222" w:after="0" w:lineRule="atLeast" w:line="1146"/>
        <w:jc w:val="left"/>
      </w:pPr>
      <w:r>
        <w:drawing>
          <wp:inline xmlns:a="http://schemas.openxmlformats.org/drawingml/2006/main" xmlns:pic="http://schemas.openxmlformats.org/drawingml/2006/picture">
            <wp:extent cx="2040551" cy="728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0551" cy="728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tLeast" w:line="1146"/>
        <w:jc w:val="center"/>
      </w:pPr>
      <w:r>
        <w:drawing>
          <wp:inline xmlns:a="http://schemas.openxmlformats.org/drawingml/2006/main" xmlns:pic="http://schemas.openxmlformats.org/drawingml/2006/picture">
            <wp:extent cx="2049018" cy="7281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9018" cy="728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tLeast" w:line="1146"/>
        <w:ind w:left="6622"/>
        <w:jc w:val="left"/>
      </w:pPr>
      <w:r>
        <w:drawing>
          <wp:inline xmlns:a="http://schemas.openxmlformats.org/drawingml/2006/main" xmlns:pic="http://schemas.openxmlformats.org/drawingml/2006/picture">
            <wp:extent cx="2040551" cy="728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0551" cy="728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18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2. Where the failure hides</w:t>
      </w:r>
    </w:p>
    <w:p>
      <w:pPr>
        <w:spacing w:before="120" w:after="0" w:lineRule="exact" w:line="266"/>
        <w:ind w:left="2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will not see it.</w:t>
      </w:r>
    </w:p>
    <w:p>
      <w:pPr>
        <w:tabs>
          <w:tab w:pos="358" w:val="left"/>
        </w:tabs>
        <w:spacing w:before="184" w:after="0" w:lineRule="exact" w:line="216"/>
        <w:ind w:left="358" w:hanging="196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Average relevance is a lagging indicator; it moves last.</w:t>
      </w:r>
    </w:p>
    <w:p>
      <w:pPr>
        <w:tabs>
          <w:tab w:pos="358" w:val="left"/>
        </w:tabs>
        <w:spacing w:before="130" w:after="0" w:lineRule="exact" w:line="216"/>
        <w:ind w:left="358" w:hanging="196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Tail queries carry most of the business value and least of the traffic.</w:t>
      </w:r>
    </w:p>
    <w:p>
      <w:pPr>
        <w:tabs>
          <w:tab w:pos="358" w:val="left"/>
        </w:tabs>
        <w:spacing w:before="116" w:after="0" w:lineRule="exact" w:line="216"/>
        <w:ind w:left="358" w:hanging="196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Chunk boundaries drawn on token counts sever the exact clauses users ask about.</w:t>
      </w:r>
    </w:p>
    <w:p>
      <w:pPr>
        <w:spacing w:before="0" w:after="0" w:lineRule="exact" w:line="2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EEF7F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66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Key finding.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Precision in the bottom decile of query frequency fell 41% while mean nDCG moved less than two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points.</w:t>
            </w:r>
          </w:p>
        </w:tc>
      </w:tr>
    </w:tbl>
    <w:p>
      <w:pPr>
        <w:keepNext/>
        <w:spacing w:before="350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3. Measured results</w:t>
      </w:r>
    </w:p>
    <w:p>
      <w:pPr>
        <w:spacing w:before="0" w:after="0" w:lineRule="exact" w:line="18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24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Configuration</w:t>
            </w:r>
          </w:p>
        </w:tc>
        <w:tc>
          <w:tcPr>
            <w:tcW w:w="192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0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nDCG@10</w:t>
            </w:r>
          </w:p>
        </w:tc>
        <w:tc>
          <w:tcPr>
            <w:tcW w:w="234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28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Tail precision</w:t>
            </w:r>
          </w:p>
        </w:tc>
        <w:tc>
          <w:tcPr>
            <w:tcW w:w="208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0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p95 latency</w:t>
            </w:r>
          </w:p>
        </w:tc>
      </w:tr>
    </w:tbl>
    <w:p>
      <w:pPr>
        <w:spacing w:before="92" w:after="0" w:lineRule="exact" w:line="196"/>
        <w:ind w:left="12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Baseline dense 0.612 0.301 410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24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+ structural chunking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0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0.634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2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0.447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0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425 ms</w:t>
            </w:r>
          </w:p>
        </w:tc>
      </w:tr>
    </w:tbl>
    <w:p>
      <w:pPr>
        <w:spacing w:before="92" w:after="0" w:lineRule="exact" w:line="196"/>
        <w:ind w:left="12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+ in-domain reranker 0.671 0.588 690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24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+ query rewriting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0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0.688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2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0.601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0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940 ms</w:t>
            </w:r>
          </w:p>
        </w:tc>
      </w:tr>
    </w:tbl>
    <w:p>
      <w:pPr>
        <w:spacing w:before="0" w:after="0" w:lineRule="exact" w:line="214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FDF1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66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Caveat.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Latency is measured on warm caches. Cold-start numbers are roughly 1.8x higher and are reported in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Appendix B.</w:t>
            </w:r>
          </w:p>
        </w:tc>
      </w:tr>
    </w:tbl>
    <w:p>
      <w:pPr>
        <w:keepNext/>
        <w:spacing w:before="350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4. Recommendations</w:t>
      </w:r>
    </w:p>
    <w:p>
      <w:pPr>
        <w:spacing w:before="170" w:after="0" w:lineRule="exact" w:line="216"/>
        <w:ind w:left="18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1. Instrument tail precision as a first-class SLO.</w:t>
      </w:r>
    </w:p>
    <w:p>
      <w:pPr>
        <w:spacing w:before="130" w:after="0" w:lineRule="exact" w:line="216"/>
        <w:ind w:left="15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2. Re-chunk on document structure, not token windows.</w:t>
      </w:r>
    </w:p>
    <w:p>
      <w:pPr>
        <w:spacing w:before="0" w:after="0" w:lineRule="exact" w:line="20"/>
      </w:pPr>
      <w:r>
        <w:br w:type="page"/>
      </w:r>
    </w:p>
    <w:p>
      <w:pPr>
        <w:spacing w:before="1112" w:after="0" w:lineRule="exact" w:line="216"/>
        <w:ind w:left="16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3. Train the reranker on the served distribution.</w:t>
      </w:r>
    </w:p>
    <w:p>
      <w:pPr>
        <w:spacing w:before="236" w:after="0" w:lineRule="exact" w:line="216"/>
        <w:ind w:left="456"/>
        <w:jc w:val="left"/>
      </w:pPr>
      <w:r>
        <w:rPr>
          <w:rFonts w:ascii="Georgia" w:hAnsi="Georgia" w:cs="Georgia" w:eastAsia="Georgia"/>
          <w:b w:val="0"/>
          <w:i/>
          <w:color w:val="444444"/>
          <w:sz w:val="19"/>
        </w:rPr>
        <w:t>The systems that failed did not fail loudly. They returned plausible documents that were subtly wrong.</w:t>
      </w:r>
    </w:p>
    <w:p>
      <w:pPr>
        <w:spacing w:before="224" w:after="0" w:lineRule="exact" w:line="216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The mitigation is unglamorous. Chunk boundaries must respect document structure rather than token counts, and the</w:t>
      </w:r>
    </w:p>
    <w:p>
      <w:pPr>
        <w:spacing w:before="64" w:after="0" w:lineRule="exact" w:line="216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reranker has to be trained on the same distribution it will serve. Everything else is tuning.</w:t>
      </w:r>
    </w:p>
    <w:sectPr w:rsidR="00FC693F" w:rsidRPr="0006063C" w:rsidSect="00034616">
      <w:pgSz w:w="12240" w:h="15840"/>
      <w:pgMar w:top="200" w:right="1210" w:bottom="1028" w:left="1228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