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jc w:val="left"/>
        <w:tblLook w:firstColumn="1" w:firstRow="1" w:lastColumn="0" w:lastRow="0" w:noHBand="0" w:noVBand="1" w:val="04A0"/>
        <w:tblLayout w:type="fixed"/>
        <w:tblW w:w="12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2080"/>
      </w:tblGrid>
      <w:tr>
        <w:tc>
          <w:tcPr>
            <w:tcW w:w="12080" w:type="dxa"/>
            <w:shd w:val="clear" w:fill="312E81"/>
            <w:tcBorders>
              <w:top w:val="nil"/>
              <w:left w:val="nil"/>
              <w:bottom w:val="single" w:sz="64" w:space="0" w:color="4F46E5"/>
              <w:right w:val="nil"/>
            </w:tcBorders>
            <w:tcMar>
              <w:top w:w="0" w:type="dxa"/>
              <w:left w:w="1132" w:type="dxa"/>
              <w:bottom w:w="754" w:type="dxa"/>
              <w:right w:w="0" w:type="dxa"/>
            </w:tcMar>
          </w:tcPr>
          <w:p>
            <w:pPr>
              <w:spacing w:before="1042" w:after="0" w:lineRule="exact" w:line="534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46"/>
              </w:rPr>
              <w:t>State of Agent Operations 2026</w:t>
            </w:r>
          </w:p>
          <w:p>
            <w:pPr>
              <w:spacing w:before="174" w:after="0" w:lineRule="exact" w:line="256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C7D2FE"/>
                <w:sz w:val="22"/>
              </w:rPr>
              <w:t>Executive brief — Northlight Research Group</w:t>
            </w:r>
          </w:p>
        </w:tc>
      </w:tr>
    </w:tbl>
    <w:p>
      <w:pPr>
        <w:keepNext/>
        <w:spacing w:before="696" w:after="0" w:lineRule="exact" w:line="360"/>
        <w:ind w:left="1144" w:right="1120"/>
        <w:jc w:val="left"/>
        <w:outlineLvl w:val="0"/>
      </w:pPr>
      <w:r>
        <w:rPr>
          <w:rFonts w:ascii="Arial" w:hAnsi="Arial" w:cs="Arial" w:eastAsia="Arial"/>
          <w:b/>
          <w:i w:val="0"/>
          <w:color w:val="312E81"/>
          <w:sz w:val="31"/>
        </w:rPr>
        <w:t>Key Findings</w:t>
      </w:r>
    </w:p>
    <w:p>
      <w:pPr>
        <w:spacing w:before="100" w:after="0" w:lineRule="exact" w:line="300"/>
        <w:ind w:left="1132" w:right="1120"/>
        <w:jc w:val="both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Our third annual survey covers 412 organizations operating autonomous agents across customer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operations, engineering, and finance. Three numbers define the year:</w:t>
      </w:r>
    </w:p>
    <w:p>
      <w:pPr>
        <w:spacing w:before="0" w:after="0" w:lineRule="exact" w:line="3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600" w:type="dxa"/>
        <w:tblInd w:w="1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200"/>
        <w:gridCol w:w="3200"/>
        <w:gridCol w:w="3200"/>
      </w:tblGrid>
      <w:tr>
        <w:tc>
          <w:tcPr>
            <w:tcW w:w="3200" w:type="dxa"/>
            <w:shd w:val="clear" w:fill="4F46E5"/>
            <w:tcBorders>
              <w:top w:val="nil"/>
              <w:left w:val="nil"/>
              <w:bottom w:val="nil"/>
              <w:right w:val="nil"/>
            </w:tcBorders>
            <w:tcMar>
              <w:top w:w="304" w:type="dxa"/>
              <w:left w:w="576" w:type="dxa"/>
              <w:bottom w:w="294" w:type="dxa"/>
              <w:right w:w="80" w:type="dxa"/>
            </w:tcMar>
          </w:tcPr>
          <w:p>
            <w:pPr>
              <w:spacing w:before="0" w:after="0" w:lineRule="exact" w:line="556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48"/>
              </w:rPr>
              <w:t>73%</w:t>
            </w:r>
          </w:p>
          <w:p>
            <w:pPr>
              <w:spacing w:before="24" w:after="0" w:lineRule="exact" w:line="22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0E7FF"/>
                <w:sz w:val="17"/>
              </w:rPr>
              <w:t xml:space="preserve">of enterprises run agents in </w:t>
            </w:r>
            <w:r>
              <w:rPr>
                <w:rFonts w:ascii="Arial" w:hAnsi="Arial" w:cs="Arial" w:eastAsia="Arial"/>
                <w:b w:val="0"/>
                <w:i w:val="0"/>
                <w:color w:val="E0E7FF"/>
                <w:sz w:val="17"/>
              </w:rPr>
              <w:t>production</w:t>
            </w:r>
          </w:p>
        </w:tc>
        <w:tc>
          <w:tcPr>
            <w:tcW w:w="3200" w:type="dxa"/>
            <w:shd w:val="clear" w:fill="7C3AED"/>
            <w:tcBorders>
              <w:top w:val="nil"/>
              <w:left w:val="nil"/>
              <w:bottom w:val="nil"/>
              <w:right w:val="nil"/>
            </w:tcBorders>
            <w:tcMar>
              <w:top w:w="414" w:type="dxa"/>
              <w:left w:w="426" w:type="dxa"/>
              <w:bottom w:w="404" w:type="dxa"/>
              <w:right w:w="80" w:type="dxa"/>
            </w:tcMar>
          </w:tcPr>
          <w:p>
            <w:pPr>
              <w:spacing w:before="0" w:after="0" w:lineRule="exact" w:line="556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48"/>
              </w:rPr>
              <w:t>4.8×</w:t>
            </w:r>
          </w:p>
          <w:p>
            <w:pPr>
              <w:spacing w:before="48" w:after="0" w:lineRule="exact" w:line="198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0E7FF"/>
                <w:sz w:val="17"/>
              </w:rPr>
              <w:t>median ROI within the first year</w:t>
            </w:r>
          </w:p>
        </w:tc>
        <w:tc>
          <w:tcPr>
            <w:tcW w:w="3200" w:type="dxa"/>
            <w:shd w:val="clear" w:fill="6D28D9"/>
            <w:tcBorders>
              <w:top w:val="nil"/>
              <w:left w:val="nil"/>
              <w:bottom w:val="nil"/>
              <w:right w:val="nil"/>
            </w:tcBorders>
            <w:tcMar>
              <w:top w:w="414" w:type="dxa"/>
              <w:left w:w="226" w:type="dxa"/>
              <w:bottom w:w="404" w:type="dxa"/>
              <w:right w:w="80" w:type="dxa"/>
            </w:tcMar>
          </w:tcPr>
          <w:p>
            <w:pPr>
              <w:spacing w:before="0" w:after="0" w:lineRule="exact" w:line="556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48"/>
              </w:rPr>
              <w:t>29 d</w:t>
            </w:r>
          </w:p>
          <w:p>
            <w:pPr>
              <w:spacing w:before="48" w:after="0" w:lineRule="exact" w:line="198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0E7FF"/>
                <w:sz w:val="17"/>
              </w:rPr>
              <w:t>average time from pilot to production</w:t>
            </w:r>
          </w:p>
        </w:tc>
      </w:tr>
    </w:tbl>
    <w:p>
      <w:pPr>
        <w:spacing w:before="234" w:after="0" w:lineRule="exact" w:line="300"/>
        <w:ind w:left="1132" w:right="1120"/>
        <w:jc w:val="both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The gap between leaders and laggards is widening. Leaders standardize evaluation harnesses and treat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prompts as versioned artifacts; laggards still ship prompt changes without regression coverage.</w:t>
      </w:r>
    </w:p>
    <w:p>
      <w:pPr>
        <w:spacing w:before="0" w:after="0" w:lineRule="exact" w:line="29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222" w:type="dxa"/>
        <w:tblInd w:w="1132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9222"/>
      </w:tblGrid>
      <w:tr>
        <w:tc>
          <w:tcPr>
            <w:tcW w:w="9222" w:type="dxa"/>
            <w:tcBorders>
              <w:top w:val="nil"/>
              <w:left w:val="single" w:sz="56" w:space="0" w:color="7C3AED"/>
              <w:bottom w:val="nil"/>
              <w:right w:val="nil"/>
            </w:tcBorders>
            <w:tcMar>
              <w:top w:w="10" w:type="dxa"/>
              <w:left w:w="210" w:type="dxa"/>
              <w:bottom w:w="10" w:type="dxa"/>
              <w:right w:w="40" w:type="dxa"/>
            </w:tcMar>
          </w:tcPr>
          <w:p>
            <w:pPr>
              <w:spacing w:before="0" w:after="0" w:lineRule="exact" w:line="360"/>
              <w:ind w:firstLine="26"/>
              <w:jc w:val="both"/>
            </w:pPr>
            <w:r>
              <w:rPr>
                <w:rFonts w:ascii="Arial" w:hAnsi="Arial" w:cs="Arial" w:eastAsia="Arial"/>
                <w:b w:val="0"/>
                <w:i/>
                <w:color w:val="3730A3"/>
                <w:sz w:val="26"/>
              </w:rPr>
              <w:t xml:space="preserve">"The bottleneck moved from model quality to operational discipline in a single </w:t>
            </w:r>
            <w:r>
              <w:rPr>
                <w:rFonts w:ascii="Arial" w:hAnsi="Arial" w:cs="Arial" w:eastAsia="Arial"/>
                <w:b w:val="0"/>
                <w:i/>
                <w:color w:val="3730A3"/>
                <w:sz w:val="26"/>
              </w:rPr>
              <w:t>budget cycle."</w:t>
            </w:r>
          </w:p>
          <w:p>
            <w:pPr>
              <w:spacing w:before="134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6B7280"/>
                <w:sz w:val="18"/>
              </w:rPr>
              <w:t>— VP Platform Engineering, Fortune 100 retailer</w:t>
            </w:r>
          </w:p>
        </w:tc>
      </w:tr>
    </w:tbl>
    <w:p>
      <w:pPr>
        <w:keepNext/>
        <w:spacing w:before="546" w:after="0" w:lineRule="exact" w:line="360"/>
        <w:ind w:left="1144" w:right="1120"/>
        <w:jc w:val="left"/>
        <w:outlineLvl w:val="0"/>
      </w:pPr>
      <w:r>
        <w:rPr>
          <w:rFonts w:ascii="Arial" w:hAnsi="Arial" w:cs="Arial" w:eastAsia="Arial"/>
          <w:b/>
          <w:i w:val="0"/>
          <w:color w:val="312E81"/>
          <w:sz w:val="31"/>
        </w:rPr>
        <w:t>Deployment Trajectory</w:t>
      </w:r>
    </w:p>
    <w:p>
      <w:pPr>
        <w:spacing w:before="98" w:after="0" w:lineRule="exact" w:line="300"/>
        <w:ind w:left="1132" w:right="1120"/>
        <w:jc w:val="both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Active deployments doubled in the trailing twelve months, with growth concentrated in mid-market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adopters:</w:t>
      </w:r>
    </w:p>
    <w:p>
      <w:pPr>
        <w:spacing w:before="402" w:after="0" w:lineRule="atLeast" w:line="3314"/>
        <w:ind w:left="1788"/>
        <w:jc w:val="left"/>
      </w:pPr>
      <w:r>
        <w:drawing>
          <wp:inline xmlns:a="http://schemas.openxmlformats.org/drawingml/2006/main" xmlns:pic="http://schemas.openxmlformats.org/drawingml/2006/picture">
            <wp:extent cx="4868195" cy="2104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8195" cy="2104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footerReference w:type="default" r:id="rId9"/>
          <w:pgSz w:w="12240" w:h="15840"/>
          <w:pgMar w:top="0" w:right="80" w:bottom="1248" w:left="80" w:header="0" w:footer="646" w:gutter="0"/>
          <w:cols w:num="1"/>
          <w:docGrid w:linePitch="360"/>
        </w:sectPr>
        <w:spacing w:before="0" w:after="0" w:line="20" w:lineRule="exact"/>
      </w:pPr>
    </w:p>
    <w:p>
      <w:pPr>
        <w:keepNext/>
        <w:spacing w:before="0" w:after="0" w:lineRule="exact" w:line="360"/>
        <w:jc w:val="left"/>
        <w:outlineLvl w:val="0"/>
      </w:pPr>
      <w:r>
        <w:rPr>
          <w:rFonts w:ascii="Arial" w:hAnsi="Arial" w:cs="Arial" w:eastAsia="Arial"/>
          <w:b/>
          <w:i w:val="0"/>
          <w:color w:val="312E81"/>
          <w:sz w:val="31"/>
        </w:rPr>
        <w:t>What Leaders Do Differently</w:t>
      </w:r>
    </w:p>
    <w:p>
      <w:pPr>
        <w:tabs>
          <w:tab w:pos="364" w:val="left"/>
        </w:tabs>
        <w:spacing w:before="156" w:after="0" w:lineRule="exact" w:line="278"/>
        <w:ind w:left="364" w:hanging="362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•</w:t>
      </w:r>
      <w:r>
        <w:rPr>
          <w:rFonts w:ascii="Arial" w:hAnsi="Arial" w:cs="Arial" w:eastAsia="Arial"/>
          <w:b w:val="0"/>
          <w:i w:val="0"/>
          <w:color w:val="000000"/>
          <w:sz w:val="24"/>
        </w:rPr>
        <w:tab/>
      </w:r>
      <w:r>
        <w:rPr>
          <w:rFonts w:ascii="Arial" w:hAnsi="Arial" w:cs="Arial" w:eastAsia="Arial"/>
          <w:b w:val="0"/>
          <w:i w:val="0"/>
          <w:color w:val="1F2937"/>
          <w:sz w:val="21"/>
        </w:rPr>
        <w:t>Budget for evaluation infrastructure before scaling headcount.</w:t>
      </w:r>
    </w:p>
    <w:p>
      <w:pPr>
        <w:tabs>
          <w:tab w:pos="366" w:val="left"/>
        </w:tabs>
        <w:spacing w:before="182" w:after="0" w:lineRule="exact" w:line="278"/>
        <w:ind w:left="366" w:hanging="364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•</w:t>
      </w:r>
      <w:r>
        <w:rPr>
          <w:rFonts w:ascii="Arial" w:hAnsi="Arial" w:cs="Arial" w:eastAsia="Arial"/>
          <w:b w:val="0"/>
          <w:i w:val="0"/>
          <w:color w:val="000000"/>
          <w:sz w:val="24"/>
        </w:rPr>
        <w:tab/>
      </w:r>
      <w:r>
        <w:rPr>
          <w:rFonts w:ascii="Arial" w:hAnsi="Arial" w:cs="Arial" w:eastAsia="Arial"/>
          <w:b w:val="0"/>
          <w:i w:val="0"/>
          <w:color w:val="1F2937"/>
          <w:sz w:val="21"/>
        </w:rPr>
        <w:t>Route by task value: premium models for revenue paths only.</w:t>
      </w:r>
    </w:p>
    <w:p>
      <w:pPr>
        <w:spacing w:before="180" w:after="0" w:lineRule="exact" w:line="244"/>
        <w:ind w:left="364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>Keep humans on exception queues, not approval queues.</w:t>
      </w:r>
    </w:p>
    <w:p>
      <w:pPr>
        <w:spacing w:before="0" w:after="0" w:lineRule="exact" w:line="510"/>
        <w:ind w:left="2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 xml:space="preserve">•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Full methodology and cohort definitions: </w:t>
      </w:r>
      <w:r>
        <w:rPr>
          <w:rFonts w:ascii="Arial" w:hAnsi="Arial" w:cs="Arial" w:eastAsia="Arial"/>
          <w:b w:val="0"/>
          <w:i w:val="0"/>
          <w:color w:val="4F46E5"/>
          <w:sz w:val="21"/>
          <w:u w:val="single"/>
        </w:rPr>
        <w:t>northlight.example.org/agents-2026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.</w:t>
      </w:r>
    </w:p>
    <w:sectPr w:rsidR="00FC693F" w:rsidRPr="0006063C" w:rsidSect="00034616">
      <w:headerReference w:type="default" r:id="rId11"/>
      <w:footerReference w:type="default" r:id="rId12"/>
      <w:pgSz w:w="12240" w:h="15840"/>
      <w:pgMar w:top="1790" w:right="1200" w:bottom="1248" w:left="1211" w:header="720" w:footer="646" w:gutter="0"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960" w:val="right"/>
      </w:tabs>
      <w:spacing w:before="0" w:after="0" w:lineRule="exact" w:line="186"/>
      <w:ind w:left="1132" w:right="1120"/>
      <w:jc w:val="left"/>
    </w:pPr>
    <w:r>
      <w:rPr>
        <w:rFonts w:ascii="Arial" w:hAnsi="Arial" w:cs="Arial" w:eastAsia="Arial"/>
        <w:b w:val="0"/>
        <w:i w:val="0"/>
        <w:color w:val="6B7280"/>
        <w:sz w:val="16"/>
      </w:rPr>
      <w:t xml:space="preserve">Northlight Research Group </w:t>
    </w:r>
    <w:r>
      <w:rPr>
        <w:rFonts w:ascii="Arial" w:hAnsi="Arial" w:cs="Arial" w:eastAsia="Arial"/>
        <w:b w:val="0"/>
        <w:i w:val="0"/>
        <w:color w:val="6B7280"/>
        <w:sz w:val="16"/>
      </w:rPr>
      <w:tab/>
    </w:r>
    <w:fldSimple w:instr=" PAGE ">
      <w:r>
        <w:rPr>
          <w:rFonts w:ascii="Arial" w:hAnsi="Arial" w:cs="Arial" w:eastAsia="Arial"/>
          <w:b w:val="0"/>
          <w:i w:val="0"/>
          <w:color w:val="6B7280"/>
          <w:sz w:val="16"/>
        </w:rPr>
        <w:t>1</w:t>
      </w:r>
    </w:fldSimple>
    <w:r>
      <w:rPr>
        <w:rFonts w:ascii="Arial" w:hAnsi="Arial" w:cs="Arial" w:eastAsia="Arial"/>
        <w:b w:val="0"/>
        <w:i w:val="0"/>
        <w:color w:val="6B7280"/>
        <w:sz w:val="16"/>
      </w:rPr>
      <w:t xml:space="preserve"> / </w:t>
    </w:r>
    <w:r>
      <w:rPr>
        <w:rFonts w:ascii="Arial" w:hAnsi="Arial" w:cs="Arial" w:eastAsia="Arial"/>
        <w:b w:val="0"/>
        <w:i w:val="0"/>
        <w:color w:val="6B7280"/>
        <w:sz w:val="16"/>
      </w:rPr>
      <w:t>3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28" w:val="right"/>
      </w:tabs>
      <w:spacing w:before="0" w:after="0" w:lineRule="exact" w:line="186"/>
      <w:jc w:val="left"/>
    </w:pPr>
    <w:r>
      <w:rPr>
        <w:rFonts w:ascii="Arial" w:hAnsi="Arial" w:cs="Arial" w:eastAsia="Arial"/>
        <w:b w:val="0"/>
        <w:i w:val="0"/>
        <w:color w:val="6B7280"/>
        <w:sz w:val="16"/>
      </w:rPr>
      <w:t xml:space="preserve">Northlight Research Group </w:t>
    </w:r>
    <w:r>
      <w:rPr>
        <w:rFonts w:ascii="Arial" w:hAnsi="Arial" w:cs="Arial" w:eastAsia="Arial"/>
        <w:b w:val="0"/>
        <w:i w:val="0"/>
        <w:color w:val="6B7280"/>
        <w:sz w:val="16"/>
      </w:rPr>
      <w:tab/>
    </w:r>
    <w:fldSimple w:instr=" PAGE ">
      <w:r>
        <w:rPr>
          <w:rFonts w:ascii="Arial" w:hAnsi="Arial" w:cs="Arial" w:eastAsia="Arial"/>
          <w:b w:val="0"/>
          <w:i w:val="0"/>
          <w:color w:val="6B7280"/>
          <w:sz w:val="16"/>
        </w:rPr>
        <w:t>1</w:t>
      </w:r>
    </w:fldSimple>
    <w:r>
      <w:rPr>
        <w:rFonts w:ascii="Arial" w:hAnsi="Arial" w:cs="Arial" w:eastAsia="Arial"/>
        <w:b w:val="0"/>
        <w:i w:val="0"/>
        <w:color w:val="6B7280"/>
        <w:sz w:val="16"/>
      </w:rPr>
      <w:t xml:space="preserve"> / </w:t>
    </w:r>
    <w:r>
      <w:rPr>
        <w:rFonts w:ascii="Arial" w:hAnsi="Arial" w:cs="Arial" w:eastAsia="Arial"/>
        <w:b w:val="0"/>
        <w:i w:val="0"/>
        <w:color w:val="6B7280"/>
        <w:sz w:val="16"/>
      </w:rPr>
      <w:t>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exact" w:line="4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eader" Target="head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