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jc w:val="left"/>
        <w:tblLook w:firstColumn="1" w:firstRow="1" w:lastColumn="0" w:lastRow="0" w:noHBand="0" w:noVBand="1" w:val="04A0"/>
        <w:tblLayout w:type="fixed"/>
        <w:tblW w:w="9795" w:type="dxa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9795"/>
      </w:tblGrid>
      <w:tr>
        <w:tc>
          <w:tcPr>
            <w:tcW w:w="9795" w:type="dxa"/>
            <w:shd w:val="clear" w:fill="BFBFBF"/>
            <w:tcBorders>
              <w:top w:val="nil"/>
              <w:left w:val="nil"/>
              <w:bottom w:val="nil"/>
              <w:right w:val="nil"/>
            </w:tcBorders>
            <w:tcMar>
              <w:top w:w="438" w:type="dxa"/>
              <w:left w:w="396" w:type="dxa"/>
              <w:bottom w:w="436" w:type="dxa"/>
              <w:right w:w="80" w:type="dxa"/>
            </w:tcMar>
          </w:tcPr>
          <w:p>
            <w:pPr>
              <w:spacing w:before="0" w:after="0" w:lineRule="exact" w:line="418"/>
              <w:jc w:val="left"/>
            </w:pPr>
            <w:r>
              <w:rPr>
                <w:rFonts w:ascii="Georgia" w:hAnsi="Georgia" w:cs="Georgia" w:eastAsia="Georgia"/>
                <w:b/>
                <w:i w:val="0"/>
                <w:color w:val="FFFFFF"/>
                <w:sz w:val="36"/>
              </w:rPr>
              <w:t>Gradient Band</w:t>
            </w:r>
          </w:p>
          <w:p>
            <w:pPr>
              <w:spacing w:before="84" w:after="0" w:lineRule="exact" w:line="244"/>
              <w:jc w:val="left"/>
            </w:pPr>
            <w:r>
              <w:rPr>
                <w:rFonts w:ascii="Georgia" w:hAnsi="Georgia" w:cs="Georgia" w:eastAsia="Georgia"/>
                <w:b w:val="0"/>
                <w:i w:val="0"/>
                <w:color w:val="FFFFFF"/>
                <w:sz w:val="21"/>
              </w:rPr>
              <w:t>Vector gradients have no OOXML paragraph equivalent.</w:t>
            </w:r>
          </w:p>
        </w:tc>
      </w:tr>
    </w:tbl>
    <w:p>
      <w:pPr>
        <w:keepNext/>
        <w:spacing w:before="394" w:after="0" w:lineRule="exact" w:line="324"/>
        <w:ind w:left="6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8"/>
        </w:rPr>
        <w:t>Inline SVG chart</w:t>
      </w:r>
    </w:p>
    <w:p>
      <w:pPr>
        <w:spacing w:before="242" w:after="0" w:lineRule="atLeast" w:line="2772"/>
        <w:ind w:left="46"/>
        <w:jc w:val="left"/>
      </w:pPr>
      <w:r>
        <w:drawing>
          <wp:inline xmlns:a="http://schemas.openxmlformats.org/drawingml/2006/main" xmlns:pic="http://schemas.openxmlformats.org/drawingml/2006/picture">
            <wp:extent cx="4093438" cy="17599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093438" cy="17599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388" w:after="0" w:lineRule="atLeast" w:line="2098"/>
        <w:jc w:val="center"/>
      </w:pPr>
      <w:r>
        <w:drawing>
          <wp:inline xmlns:a="http://schemas.openxmlformats.org/drawingml/2006/main" xmlns:pic="http://schemas.openxmlformats.org/drawingml/2006/picture">
            <wp:extent cx="6281934" cy="133280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81934" cy="1332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before="2754" w:after="0" w:lineRule="exact" w:line="324"/>
        <w:ind w:left="8"/>
        <w:jc w:val="left"/>
        <w:outlineLvl w:val="0"/>
      </w:pPr>
      <w:r>
        <w:rPr>
          <w:rFonts w:ascii="Arial" w:hAnsi="Arial" w:cs="Arial" w:eastAsia="Arial"/>
          <w:b/>
          <w:i w:val="0"/>
          <w:color w:val="123A5E"/>
          <w:sz w:val="28"/>
        </w:rPr>
        <w:t>Body after graphics</w:t>
      </w:r>
    </w:p>
    <w:p>
      <w:pPr>
        <w:spacing w:before="136" w:after="0" w:lineRule="exact" w:line="300"/>
        <w:jc w:val="both"/>
      </w:pP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Retrieval quality degrades non-linearly as the corpus grows past the point where the embedding model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was calibrated, and the failure is quiet: recall stays flat while precision collapses in the tail. Teams that </w:t>
      </w:r>
      <w:r>
        <w:rPr>
          <w:rFonts w:ascii="Georgia" w:hAnsi="Georgia" w:cs="Georgia" w:eastAsia="Georgia"/>
          <w:b w:val="0"/>
          <w:i w:val="0"/>
          <w:color w:val="1A1A1A"/>
          <w:sz w:val="21"/>
        </w:rPr>
        <w:t xml:space="preserve">measure only average relevance will not see it. </w:t>
      </w:r>
    </w:p>
    <w:sectPr w:rsidR="00FC693F" w:rsidRPr="0006063C" w:rsidSect="00034616">
      <w:pgSz w:w="12240" w:h="15840"/>
      <w:pgMar w:top="1290" w:right="1243" w:bottom="1440" w:left="1243" w:header="720" w:footer="720" w:gutter="0"/>
      <w:cols w:num="1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