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2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080"/>
      </w:tblGrid>
      <w:tr>
        <w:tc>
          <w:tcPr>
            <w:tcW w:w="12080" w:type="dxa"/>
            <w:shd w:val="clear" w:fill="312E81"/>
            <w:tcBorders>
              <w:top w:val="nil"/>
              <w:left w:val="nil"/>
              <w:bottom w:val="single" w:sz="64" w:space="0" w:color="4F46E5"/>
              <w:right w:val="nil"/>
            </w:tcBorders>
            <w:tcMar>
              <w:top w:w="0" w:type="dxa"/>
              <w:left w:w="1120" w:type="dxa"/>
              <w:bottom w:w="754" w:type="dxa"/>
              <w:right w:w="0" w:type="dxa"/>
            </w:tcMar>
          </w:tcPr>
          <w:p>
            <w:pPr>
              <w:spacing w:before="1042" w:after="0" w:lineRule="exact" w:line="534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6"/>
              </w:rPr>
              <w:t>State of Agent Operations 2026</w:t>
            </w:r>
          </w:p>
          <w:p>
            <w:pPr>
              <w:spacing w:before="174" w:after="0" w:lineRule="exact" w:line="256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C7D2FE"/>
                <w:sz w:val="22"/>
              </w:rPr>
              <w:t>Executive brief — Northlight Research Group</w:t>
            </w:r>
          </w:p>
        </w:tc>
      </w:tr>
    </w:tbl>
    <w:p>
      <w:pPr>
        <w:keepNext/>
        <w:spacing w:before="696" w:after="0" w:lineRule="exact" w:line="360"/>
        <w:ind w:left="1120" w:right="1120"/>
        <w:jc w:val="left"/>
        <w:outlineLvl w:val="0"/>
      </w:pPr>
      <w:r>
        <w:rPr>
          <w:rFonts w:ascii="Arial" w:hAnsi="Arial" w:cs="Arial" w:eastAsia="Arial"/>
          <w:b/>
          <w:i w:val="0"/>
          <w:color w:val="312E81"/>
          <w:sz w:val="31"/>
        </w:rPr>
        <w:t>Key Findings</w:t>
      </w:r>
    </w:p>
    <w:p>
      <w:pPr>
        <w:spacing w:before="100" w:after="0" w:lineRule="exact" w:line="300"/>
        <w:ind w:left="1120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Our third annual survey covers 412 organizations operating autonomous agents across customer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operations, engineering, and finance. Three numbers define the year:</w:t>
      </w:r>
    </w:p>
    <w:p>
      <w:pPr>
        <w:spacing w:before="0" w:after="0" w:lineRule="exact" w:line="3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600" w:type="dxa"/>
        <w:tblInd w:w="1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3200"/>
        <w:gridCol w:w="3200"/>
      </w:tblGrid>
      <w:tr>
        <w:tc>
          <w:tcPr>
            <w:tcW w:w="3200" w:type="dxa"/>
            <w:shd w:val="clear" w:fill="4F46E5"/>
            <w:tcBorders>
              <w:top w:val="nil"/>
              <w:left w:val="nil"/>
              <w:bottom w:val="nil"/>
              <w:right w:val="nil"/>
            </w:tcBorders>
            <w:tcMar>
              <w:top w:w="304" w:type="dxa"/>
              <w:left w:w="570" w:type="dxa"/>
              <w:bottom w:w="294" w:type="dxa"/>
              <w:right w:w="80" w:type="dxa"/>
            </w:tcMar>
          </w:tcPr>
          <w:p>
            <w:pPr>
              <w:spacing w:before="0" w:after="0" w:lineRule="exact" w:line="556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8"/>
              </w:rPr>
              <w:t>73%</w:t>
            </w:r>
          </w:p>
          <w:p>
            <w:pPr>
              <w:spacing w:before="24" w:after="0" w:lineRule="exact" w:line="22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 xml:space="preserve">of enterprises run agents in </w:t>
            </w: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>production</w:t>
            </w:r>
          </w:p>
        </w:tc>
        <w:tc>
          <w:tcPr>
            <w:tcW w:w="3200" w:type="dxa"/>
            <w:shd w:val="clear" w:fill="7C3AED"/>
            <w:tcBorders>
              <w:top w:val="nil"/>
              <w:left w:val="nil"/>
              <w:bottom w:val="nil"/>
              <w:right w:val="nil"/>
            </w:tcBorders>
            <w:tcMar>
              <w:top w:w="414" w:type="dxa"/>
              <w:left w:w="414" w:type="dxa"/>
              <w:bottom w:w="404" w:type="dxa"/>
              <w:right w:w="80" w:type="dxa"/>
            </w:tcMar>
          </w:tcPr>
          <w:p>
            <w:pPr>
              <w:spacing w:before="0" w:after="0" w:lineRule="exact" w:line="556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8"/>
              </w:rPr>
              <w:t>4.8×</w:t>
            </w:r>
          </w:p>
          <w:p>
            <w:pPr>
              <w:spacing w:before="48" w:after="0" w:lineRule="exact" w:line="198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>median ROI within the first year</w:t>
            </w:r>
          </w:p>
        </w:tc>
        <w:tc>
          <w:tcPr>
            <w:tcW w:w="3200" w:type="dxa"/>
            <w:shd w:val="clear" w:fill="6D28D9"/>
            <w:tcBorders>
              <w:top w:val="nil"/>
              <w:left w:val="nil"/>
              <w:bottom w:val="nil"/>
              <w:right w:val="nil"/>
            </w:tcBorders>
            <w:tcMar>
              <w:top w:w="414" w:type="dxa"/>
              <w:left w:w="220" w:type="dxa"/>
              <w:bottom w:w="404" w:type="dxa"/>
              <w:right w:w="80" w:type="dxa"/>
            </w:tcMar>
          </w:tcPr>
          <w:p>
            <w:pPr>
              <w:spacing w:before="0" w:after="0" w:lineRule="exact" w:line="556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48"/>
              </w:rPr>
              <w:t>29 d</w:t>
            </w:r>
          </w:p>
          <w:p>
            <w:pPr>
              <w:spacing w:before="48" w:after="0" w:lineRule="exact" w:line="198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0E7FF"/>
                <w:sz w:val="17"/>
              </w:rPr>
              <w:t>average time from pilot to production</w:t>
            </w:r>
          </w:p>
        </w:tc>
      </w:tr>
    </w:tbl>
    <w:p>
      <w:pPr>
        <w:spacing w:before="234" w:after="0" w:lineRule="exact" w:line="300"/>
        <w:ind w:left="1120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gap between leaders and laggards is widening. Leaders standardize evaluation harnesses and treat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prompts as versioned artifacts; laggards still ship prompt changes without regression coverage.</w:t>
      </w:r>
    </w:p>
    <w:p>
      <w:pPr>
        <w:spacing w:before="0" w:after="0" w:lineRule="exact" w:line="36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158" w:type="dxa"/>
        <w:tblInd w:w="1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158"/>
      </w:tblGrid>
      <w:tr>
        <w:tc>
          <w:tcPr>
            <w:tcW w:w="9158" w:type="dxa"/>
            <w:tcBorders>
              <w:top w:val="nil"/>
              <w:left w:val="single" w:sz="12" w:space="0" w:color="7C3AED"/>
              <w:bottom w:val="nil"/>
              <w:right w:val="nil"/>
            </w:tcBorders>
            <w:tcMar>
              <w:top w:w="10" w:type="dxa"/>
              <w:left w:w="280" w:type="dxa"/>
              <w:bottom w:w="10" w:type="dxa"/>
              <w:right w:w="40" w:type="dxa"/>
            </w:tcMar>
          </w:tcPr>
          <w:p>
            <w:pPr>
              <w:spacing w:before="0" w:after="0" w:lineRule="exact" w:line="360"/>
              <w:jc w:val="both"/>
            </w:pPr>
            <w:r>
              <w:rPr>
                <w:rFonts w:ascii="Arial" w:hAnsi="Arial" w:cs="Arial" w:eastAsia="Arial"/>
                <w:b w:val="0"/>
                <w:i/>
                <w:color w:val="3730A3"/>
                <w:sz w:val="26"/>
              </w:rPr>
              <w:t xml:space="preserve">"The bottleneck moved from model quality to operational discipline in a single </w:t>
            </w:r>
            <w:r>
              <w:rPr>
                <w:rFonts w:ascii="Arial" w:hAnsi="Arial" w:cs="Arial" w:eastAsia="Arial"/>
                <w:b w:val="0"/>
                <w:i/>
                <w:color w:val="3730A3"/>
                <w:sz w:val="26"/>
              </w:rPr>
              <w:t>budget cycle."</w:t>
            </w:r>
          </w:p>
          <w:p>
            <w:pPr>
              <w:spacing w:before="134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6B7280"/>
                <w:sz w:val="18"/>
              </w:rPr>
              <w:t>— VP Platform Engineering, Fortune 100 retailer</w:t>
            </w:r>
          </w:p>
        </w:tc>
      </w:tr>
    </w:tbl>
    <w:p>
      <w:pPr>
        <w:keepNext/>
        <w:spacing w:before="616" w:after="0" w:lineRule="exact" w:line="360"/>
        <w:ind w:left="1120" w:right="1120"/>
        <w:jc w:val="left"/>
        <w:outlineLvl w:val="0"/>
      </w:pPr>
      <w:r>
        <w:rPr>
          <w:rFonts w:ascii="Arial" w:hAnsi="Arial" w:cs="Arial" w:eastAsia="Arial"/>
          <w:b/>
          <w:i w:val="0"/>
          <w:color w:val="312E81"/>
          <w:sz w:val="31"/>
        </w:rPr>
        <w:t>Deployment Trajectory</w:t>
      </w:r>
    </w:p>
    <w:p>
      <w:pPr>
        <w:spacing w:before="98" w:after="0" w:lineRule="exact" w:line="300"/>
        <w:ind w:left="1120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Active deployments doubled in the trailing twelve months, with growth concentrated in mid-market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adopters:</w:t>
      </w:r>
    </w:p>
    <w:p>
      <w:pPr>
        <w:spacing w:before="374" w:after="0" w:lineRule="atLeast" w:line="3358"/>
        <w:ind w:left="1780"/>
        <w:jc w:val="left"/>
      </w:pPr>
      <w:r>
        <w:drawing>
          <wp:inline xmlns:a="http://schemas.openxmlformats.org/drawingml/2006/main" xmlns:pic="http://schemas.openxmlformats.org/drawingml/2006/picture">
            <wp:extent cx="4876863" cy="213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863" cy="213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2240" w:h="15840"/>
          <w:pgMar w:top="0" w:right="80" w:bottom="1236" w:left="80" w:header="0" w:footer="632" w:gutter="0"/>
          <w:cols w:num="1"/>
          <w:docGrid w:linePitch="360"/>
        </w:sectPr>
        <w:spacing w:before="0" w:after="0" w:line="20" w:lineRule="exact"/>
      </w:pPr>
    </w:p>
    <w:p>
      <w:pPr>
        <w:keepNext/>
        <w:spacing w:before="38" w:after="0" w:lineRule="exact" w:line="360"/>
        <w:jc w:val="left"/>
        <w:outlineLvl w:val="0"/>
      </w:pPr>
      <w:r>
        <w:rPr>
          <w:rFonts w:ascii="Arial" w:hAnsi="Arial" w:cs="Arial" w:eastAsia="Arial"/>
          <w:b/>
          <w:i w:val="0"/>
          <w:color w:val="312E81"/>
          <w:sz w:val="31"/>
        </w:rPr>
        <w:t>What Leaders Do Differently</w:t>
      </w:r>
    </w:p>
    <w:p>
      <w:pPr>
        <w:tabs>
          <w:tab w:pos="360" w:val="left"/>
        </w:tabs>
        <w:spacing w:before="156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Budget for evaluation infrastructure before scaling headcount.</w:t>
      </w:r>
    </w:p>
    <w:p>
      <w:pPr>
        <w:tabs>
          <w:tab w:pos="360" w:val="left"/>
        </w:tabs>
        <w:spacing w:before="182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Route by task value: premium models for revenue paths only.</w:t>
      </w:r>
    </w:p>
    <w:p>
      <w:pPr>
        <w:tabs>
          <w:tab w:pos="360" w:val="left"/>
        </w:tabs>
        <w:spacing w:before="182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Keep humans on exception queues, not approval queues.</w:t>
      </w:r>
    </w:p>
    <w:p>
      <w:pPr>
        <w:spacing w:before="260" w:after="0" w:lineRule="exact" w:line="24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Full methodology and cohort definitions: </w:t>
      </w:r>
      <w:hyperlink r:id="rId13">
        <w:r>
          <w:rPr>
            <w:rFonts w:ascii="Arial" w:hAnsi="Arial" w:cs="Arial" w:eastAsia="Arial"/>
            <w:b w:val="0"/>
            <w:i w:val="0"/>
            <w:color w:val="4F46E5"/>
            <w:sz w:val="21"/>
            <w:u w:val="single"/>
          </w:rPr>
          <w:t xml:space="preserve">northlight.example.org/agents-2026</w:t>
        </w:r>
      </w:hyperlink>
      <w:r>
        <w:rPr>
          <w:rFonts w:ascii="Arial" w:hAnsi="Arial" w:cs="Arial" w:eastAsia="Arial"/>
          <w:b w:val="0"/>
          <w:i w:val="0"/>
          <w:color w:val="1F2937"/>
          <w:sz w:val="21"/>
        </w:rPr>
        <w:t>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738" w:right="1200" w:bottom="1236" w:left="1200" w:header="720" w:footer="632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960" w:val="right"/>
      </w:tabs>
      <w:spacing w:before="0" w:after="0" w:lineRule="exact" w:line="186"/>
      <w:ind w:left="1120" w:right="1120"/>
      <w:jc w:val="left"/>
    </w:pPr>
    <w:r>
      <w:rPr>
        <w:rFonts w:ascii="Arial" w:hAnsi="Arial" w:cs="Arial" w:eastAsia="Arial"/>
        <w:b w:val="0"/>
        <w:i w:val="0"/>
        <w:color w:val="6B7280"/>
        <w:sz w:val="16"/>
      </w:rPr>
      <w:t>Northlight Research Group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  <w:r>
      <w:rPr>
        <w:rFonts w:ascii="Arial" w:hAnsi="Arial" w:cs="Arial" w:eastAsia="Arial"/>
        <w:b w:val="0"/>
        <w:i w:val="0"/>
        <w:color w:val="6B7280"/>
        <w:sz w:val="16"/>
      </w:rPr>
      <w:t xml:space="preserve"> / </w:t>
    </w:r>
    <w:r>
      <w:rPr>
        <w:rFonts w:ascii="Arial" w:hAnsi="Arial" w:cs="Arial" w:eastAsia="Arial"/>
        <w:b w:val="0"/>
        <w:i w:val="0"/>
        <w:color w:val="6B7280"/>
        <w:sz w:val="16"/>
      </w:rPr>
      <w:t>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40" w:val="right"/>
      </w:tabs>
      <w:spacing w:before="0" w:after="0" w:lineRule="exact" w:line="186"/>
      <w:jc w:val="left"/>
    </w:pPr>
    <w:r>
      <w:rPr>
        <w:rFonts w:ascii="Arial" w:hAnsi="Arial" w:cs="Arial" w:eastAsia="Arial"/>
        <w:b w:val="0"/>
        <w:i w:val="0"/>
        <w:color w:val="6B7280"/>
        <w:sz w:val="16"/>
      </w:rPr>
      <w:t>Northlight Research Group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  <w:r>
      <w:rPr>
        <w:rFonts w:ascii="Arial" w:hAnsi="Arial" w:cs="Arial" w:eastAsia="Arial"/>
        <w:b w:val="0"/>
        <w:i w:val="0"/>
        <w:color w:val="6B7280"/>
        <w:sz w:val="16"/>
      </w:rPr>
      <w:t xml:space="preserve"> / </w:t>
    </w:r>
    <w:r>
      <w:rPr>
        <w:rFonts w:ascii="Arial" w:hAnsi="Arial" w:cs="Arial" w:eastAsia="Arial"/>
        <w:b w:val="0"/>
        <w:i w:val="0"/>
        <w:color w:val="6B7280"/>
        <w:sz w:val="16"/>
      </w:rPr>
      <w:t>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4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yperlink" Target="https://northlight.example.org/agents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