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left"/>
        <w:tblLook w:firstColumn="1" w:firstRow="1" w:lastColumn="0" w:lastRow="0" w:noHBand="0" w:noVBand="1" w:val="04A0"/>
        <w:tblLayout w:type="fixed"/>
        <w:tblW w:w="11987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1987"/>
      </w:tblGrid>
      <w:tr>
        <w:tc>
          <w:tcPr>
            <w:tcW w:w="11987" w:type="dxa"/>
            <w:shd w:val="clear" w:fill="123A5E"/>
            <w:tcBorders>
              <w:top w:val="nil"/>
              <w:left w:val="nil"/>
              <w:bottom w:val="nil"/>
              <w:right w:val="nil"/>
            </w:tcBorders>
            <w:tcMar>
              <w:top w:w="1134" w:type="dxa"/>
              <w:left w:w="1052" w:type="dxa"/>
              <w:bottom w:w="506" w:type="dxa"/>
              <w:right w:w="80" w:type="dxa"/>
            </w:tcMar>
          </w:tcPr>
          <w:p>
            <w:pPr>
              <w:spacing w:before="0" w:after="0" w:lineRule="exact" w:line="306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20"/>
              </w:rPr>
              <w:t xml:space="preserve">oduction RAG degrades quietly — and what to measure instead </w:t>
            </w: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 xml:space="preserve"> Whitepaper · July 2026</w:t>
            </w:r>
          </w:p>
        </w:tc>
      </w:tr>
    </w:tbl>
    <w:p>
      <w:pPr>
        <w:keepNext/>
        <w:spacing w:before="350" w:after="0" w:lineRule="exact" w:line="288"/>
        <w:ind w:left="2"/>
        <w:jc w:val="left"/>
        <w:outlineLvl w:val="0"/>
      </w:pPr>
      <w:r>
        <w:rPr>
          <w:rFonts w:ascii="Arial" w:hAnsi="Arial" w:cs="Arial" w:eastAsia="Arial"/>
          <w:b/>
          <w:i w:val="0"/>
          <w:color w:val="123A5E"/>
          <w:sz w:val="25"/>
        </w:rPr>
        <w:t>1. Executive summary</w:t>
      </w:r>
    </w:p>
    <w:p>
      <w:pPr>
        <w:spacing w:before="120" w:after="0" w:lineRule="exact" w:line="266"/>
        <w:ind w:left="2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 xml:space="preserve">Retrieval quality degrades non-linearly as the corpus grows past the point where the embedding model was calibrated, </w:t>
      </w:r>
      <w:r>
        <w:rPr>
          <w:rFonts w:ascii="Georgia" w:hAnsi="Georgia" w:cs="Georgia" w:eastAsia="Georgia"/>
          <w:b w:val="0"/>
          <w:i w:val="0"/>
          <w:color w:val="1A1A1A"/>
          <w:sz w:val="19"/>
        </w:rPr>
        <w:t xml:space="preserve">and the failure is quiet: recall stays flat while precision collapses in the tail. Teams that measure only average relevance </w:t>
      </w:r>
      <w:r>
        <w:rPr>
          <w:rFonts w:ascii="Georgia" w:hAnsi="Georgia" w:cs="Georgia" w:eastAsia="Georgia"/>
          <w:b w:val="0"/>
          <w:i w:val="0"/>
          <w:color w:val="1A1A1A"/>
          <w:sz w:val="19"/>
        </w:rPr>
        <w:t xml:space="preserve">will not see it. 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19"/>
        </w:rPr>
        <w:t>counts, and the reranker has to be trained on the same distribution it will serve. Everything else is tuning.</w:t>
      </w:r>
    </w:p>
    <w:p>
      <w:pPr>
        <w:spacing w:before="222" w:after="0" w:lineRule="atLeast" w:line="1146"/>
        <w:jc w:val="left"/>
      </w:pPr>
      <w:r>
        <w:drawing>
          <wp:inline xmlns:a="http://schemas.openxmlformats.org/drawingml/2006/main" xmlns:pic="http://schemas.openxmlformats.org/drawingml/2006/picture">
            <wp:extent cx="2040551" cy="7281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0551" cy="728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tLeast" w:line="1146"/>
        <w:jc w:val="center"/>
      </w:pPr>
      <w:r>
        <w:drawing>
          <wp:inline xmlns:a="http://schemas.openxmlformats.org/drawingml/2006/main" xmlns:pic="http://schemas.openxmlformats.org/drawingml/2006/picture">
            <wp:extent cx="2049018" cy="7281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9018" cy="728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tLeast" w:line="1146"/>
        <w:ind w:left="6622"/>
        <w:jc w:val="left"/>
      </w:pPr>
      <w:r>
        <w:drawing>
          <wp:inline xmlns:a="http://schemas.openxmlformats.org/drawingml/2006/main" xmlns:pic="http://schemas.openxmlformats.org/drawingml/2006/picture">
            <wp:extent cx="2040551" cy="7281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0551" cy="728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18" w:after="0" w:lineRule="exact" w:line="288"/>
        <w:ind w:left="2"/>
        <w:jc w:val="left"/>
        <w:outlineLvl w:val="0"/>
      </w:pPr>
      <w:r>
        <w:rPr>
          <w:rFonts w:ascii="Arial" w:hAnsi="Arial" w:cs="Arial" w:eastAsia="Arial"/>
          <w:b/>
          <w:i w:val="0"/>
          <w:color w:val="123A5E"/>
          <w:sz w:val="25"/>
        </w:rPr>
        <w:t>2. Where the failure hides</w:t>
      </w:r>
    </w:p>
    <w:p>
      <w:pPr>
        <w:spacing w:before="120" w:after="0" w:lineRule="exact" w:line="266"/>
        <w:ind w:left="2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 xml:space="preserve">Retrieval quality degrades non-linearly as the corpus grows past the point where the embedding model was calibrated, </w:t>
      </w:r>
      <w:r>
        <w:rPr>
          <w:rFonts w:ascii="Georgia" w:hAnsi="Georgia" w:cs="Georgia" w:eastAsia="Georgia"/>
          <w:b w:val="0"/>
          <w:i w:val="0"/>
          <w:color w:val="1A1A1A"/>
          <w:sz w:val="19"/>
        </w:rPr>
        <w:t xml:space="preserve">and the failure is quiet: recall stays flat while precision collapses in the tail. Teams that measure only average relevance </w:t>
      </w:r>
      <w:r>
        <w:rPr>
          <w:rFonts w:ascii="Georgia" w:hAnsi="Georgia" w:cs="Georgia" w:eastAsia="Georgia"/>
          <w:b w:val="0"/>
          <w:i w:val="0"/>
          <w:color w:val="1A1A1A"/>
          <w:sz w:val="19"/>
        </w:rPr>
        <w:t>will not see it.</w:t>
      </w:r>
    </w:p>
    <w:p>
      <w:pPr>
        <w:tabs>
          <w:tab w:pos="358" w:val="left"/>
        </w:tabs>
        <w:spacing w:before="184" w:after="0" w:lineRule="exact" w:line="216"/>
        <w:ind w:left="358" w:hanging="196"/>
        <w:jc w:val="left"/>
      </w:pPr>
      <w:r>
        <w:rPr>
          <w:rFonts w:ascii="Arial" w:hAnsi="Arial" w:cs="Arial" w:eastAsia="Arial"/>
          <w:b w:val="0"/>
          <w:i w:val="0"/>
          <w:color w:val="1A1A1A"/>
          <w:sz w:val="19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19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19"/>
        </w:rPr>
        <w:t>Average relevance is a lagging indicator; it moves last.</w:t>
      </w:r>
    </w:p>
    <w:p>
      <w:pPr>
        <w:tabs>
          <w:tab w:pos="358" w:val="left"/>
        </w:tabs>
        <w:spacing w:before="130" w:after="0" w:lineRule="exact" w:line="216"/>
        <w:ind w:left="358" w:hanging="196"/>
        <w:jc w:val="left"/>
      </w:pPr>
      <w:r>
        <w:rPr>
          <w:rFonts w:ascii="Arial" w:hAnsi="Arial" w:cs="Arial" w:eastAsia="Arial"/>
          <w:b w:val="0"/>
          <w:i w:val="0"/>
          <w:color w:val="1A1A1A"/>
          <w:sz w:val="19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19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19"/>
        </w:rPr>
        <w:t>Tail queries carry most of the business value and least of the traffic.</w:t>
      </w:r>
    </w:p>
    <w:p>
      <w:pPr>
        <w:tabs>
          <w:tab w:pos="358" w:val="left"/>
        </w:tabs>
        <w:spacing w:before="116" w:after="0" w:lineRule="exact" w:line="216"/>
        <w:ind w:left="358" w:hanging="196"/>
        <w:jc w:val="left"/>
      </w:pPr>
      <w:r>
        <w:rPr>
          <w:rFonts w:ascii="Arial" w:hAnsi="Arial" w:cs="Arial" w:eastAsia="Arial"/>
          <w:b w:val="0"/>
          <w:i w:val="0"/>
          <w:color w:val="1A1A1A"/>
          <w:sz w:val="19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19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19"/>
        </w:rPr>
        <w:t>Chunk boundaries drawn on token counts sever the exact clauses users ask about.</w:t>
      </w:r>
    </w:p>
    <w:p>
      <w:pPr>
        <w:spacing w:before="0" w:after="0" w:lineRule="exact" w:line="2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800"/>
      </w:tblGrid>
      <w:tr>
        <w:tc>
          <w:tcPr>
            <w:tcW w:w="9800" w:type="dxa"/>
            <w:shd w:val="clear" w:fill="EEF7F1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266" w:type="dxa"/>
              <w:bottom w:w="174" w:type="dxa"/>
              <w:right w:w="80" w:type="dxa"/>
            </w:tcMar>
          </w:tcPr>
          <w:p>
            <w:pPr>
              <w:spacing w:before="0" w:after="0" w:lineRule="exact" w:line="266"/>
              <w:jc w:val="left"/>
            </w:pPr>
            <w:r>
              <w:rPr>
                <w:rFonts w:ascii="Georgia" w:hAnsi="Georgia" w:cs="Georgia" w:eastAsia="Georgia"/>
                <w:b/>
                <w:i w:val="0"/>
                <w:color w:val="1A1A1A"/>
                <w:sz w:val="19"/>
              </w:rPr>
              <w:t>Key finding.</w:t>
            </w: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 Precision in the bottom decile of query frequency fell 41% while mean nDCG moved less than two </w:t>
            </w: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points.</w:t>
            </w:r>
          </w:p>
        </w:tc>
      </w:tr>
    </w:tbl>
    <w:p>
      <w:pPr>
        <w:keepNext/>
        <w:spacing w:before="350" w:after="0" w:lineRule="exact" w:line="288"/>
        <w:ind w:left="2"/>
        <w:jc w:val="left"/>
        <w:outlineLvl w:val="0"/>
      </w:pPr>
      <w:r>
        <w:rPr>
          <w:rFonts w:ascii="Arial" w:hAnsi="Arial" w:cs="Arial" w:eastAsia="Arial"/>
          <w:b/>
          <w:i w:val="0"/>
          <w:color w:val="123A5E"/>
          <w:sz w:val="25"/>
        </w:rPr>
        <w:t>3. Measured results</w:t>
      </w:r>
    </w:p>
    <w:p>
      <w:pPr>
        <w:spacing w:before="0" w:after="0" w:lineRule="exact" w:line="188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453"/>
        <w:gridCol w:w="1920"/>
        <w:gridCol w:w="2347"/>
        <w:gridCol w:w="2080"/>
      </w:tblGrid>
      <w:tr>
        <w:tc>
          <w:tcPr>
            <w:tcW w:w="3453" w:type="dxa"/>
            <w:shd w:val="clear" w:fill="123A5E"/>
            <w:tcBorders>
              <w:top w:val="nil"/>
              <w:left w:val="nil"/>
              <w:bottom w:val="nil"/>
              <w:right w:val="nil"/>
            </w:tcBorders>
            <w:tcMar>
              <w:top w:w="88" w:type="dxa"/>
              <w:left w:w="124" w:type="dxa"/>
              <w:bottom w:w="126" w:type="dxa"/>
              <w:right w:w="80" w:type="dxa"/>
            </w:tcMar>
          </w:tcPr>
          <w:p>
            <w:pPr>
              <w:spacing w:before="0" w:after="0" w:lineRule="exact" w:line="186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Configuration</w:t>
            </w:r>
          </w:p>
        </w:tc>
        <w:tc>
          <w:tcPr>
            <w:tcW w:w="1920" w:type="dxa"/>
            <w:shd w:val="clear" w:fill="123A5E"/>
            <w:tcBorders>
              <w:top w:val="nil"/>
              <w:left w:val="nil"/>
              <w:bottom w:val="nil"/>
              <w:right w:val="nil"/>
            </w:tcBorders>
            <w:tcMar>
              <w:top w:w="88" w:type="dxa"/>
              <w:left w:w="130" w:type="dxa"/>
              <w:bottom w:w="126" w:type="dxa"/>
              <w:right w:w="80" w:type="dxa"/>
            </w:tcMar>
          </w:tcPr>
          <w:p>
            <w:pPr>
              <w:spacing w:before="0" w:after="0" w:lineRule="exact" w:line="186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nDCG@10</w:t>
            </w:r>
          </w:p>
        </w:tc>
        <w:tc>
          <w:tcPr>
            <w:tcW w:w="2347" w:type="dxa"/>
            <w:shd w:val="clear" w:fill="123A5E"/>
            <w:tcBorders>
              <w:top w:val="nil"/>
              <w:left w:val="nil"/>
              <w:bottom w:val="nil"/>
              <w:right w:val="nil"/>
            </w:tcBorders>
            <w:tcMar>
              <w:top w:w="88" w:type="dxa"/>
              <w:left w:w="128" w:type="dxa"/>
              <w:bottom w:w="126" w:type="dxa"/>
              <w:right w:w="80" w:type="dxa"/>
            </w:tcMar>
          </w:tcPr>
          <w:p>
            <w:pPr>
              <w:spacing w:before="0" w:after="0" w:lineRule="exact" w:line="186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Tail precision</w:t>
            </w:r>
          </w:p>
        </w:tc>
        <w:tc>
          <w:tcPr>
            <w:tcW w:w="2080" w:type="dxa"/>
            <w:shd w:val="clear" w:fill="123A5E"/>
            <w:tcBorders>
              <w:top w:val="nil"/>
              <w:left w:val="nil"/>
              <w:bottom w:val="nil"/>
              <w:right w:val="nil"/>
            </w:tcBorders>
            <w:tcMar>
              <w:top w:w="88" w:type="dxa"/>
              <w:left w:w="130" w:type="dxa"/>
              <w:bottom w:w="126" w:type="dxa"/>
              <w:right w:w="80" w:type="dxa"/>
            </w:tcMar>
          </w:tcPr>
          <w:p>
            <w:pPr>
              <w:spacing w:before="0" w:after="0" w:lineRule="exact" w:line="186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p95 latency</w:t>
            </w:r>
          </w:p>
        </w:tc>
      </w:tr>
    </w:tbl>
    <w:p>
      <w:pPr>
        <w:spacing w:before="92" w:after="0" w:lineRule="exact" w:line="196"/>
        <w:ind w:left="126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7"/>
        </w:rPr>
        <w:t>Baseline dense 0.612 0.301 410 ms</w:t>
      </w:r>
    </w:p>
    <w:p>
      <w:pPr>
        <w:spacing w:before="0" w:after="0" w:lineRule="exact" w:line="112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453"/>
        <w:gridCol w:w="1920"/>
        <w:gridCol w:w="2347"/>
        <w:gridCol w:w="2080"/>
      </w:tblGrid>
      <w:tr>
        <w:tc>
          <w:tcPr>
            <w:tcW w:w="3453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92" w:type="dxa"/>
              <w:left w:w="124" w:type="dxa"/>
              <w:bottom w:w="112" w:type="dxa"/>
              <w:right w:w="80" w:type="dxa"/>
            </w:tcMar>
          </w:tcPr>
          <w:p>
            <w:pPr>
              <w:spacing w:before="0" w:after="0" w:lineRule="exact" w:line="196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7"/>
              </w:rPr>
              <w:t>+ structural chunking</w:t>
            </w:r>
          </w:p>
        </w:tc>
        <w:tc>
          <w:tcPr>
            <w:tcW w:w="192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92" w:type="dxa"/>
              <w:left w:w="130" w:type="dxa"/>
              <w:bottom w:w="112" w:type="dxa"/>
              <w:right w:w="80" w:type="dxa"/>
            </w:tcMar>
          </w:tcPr>
          <w:p>
            <w:pPr>
              <w:spacing w:before="0" w:after="0" w:lineRule="exact" w:line="196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7"/>
              </w:rPr>
              <w:t>0.634</w:t>
            </w:r>
          </w:p>
        </w:tc>
        <w:tc>
          <w:tcPr>
            <w:tcW w:w="2347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92" w:type="dxa"/>
              <w:left w:w="128" w:type="dxa"/>
              <w:bottom w:w="112" w:type="dxa"/>
              <w:right w:w="80" w:type="dxa"/>
            </w:tcMar>
          </w:tcPr>
          <w:p>
            <w:pPr>
              <w:spacing w:before="0" w:after="0" w:lineRule="exact" w:line="196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7"/>
              </w:rPr>
              <w:t>0.447</w:t>
            </w:r>
          </w:p>
        </w:tc>
        <w:tc>
          <w:tcPr>
            <w:tcW w:w="208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92" w:type="dxa"/>
              <w:left w:w="130" w:type="dxa"/>
              <w:bottom w:w="112" w:type="dxa"/>
              <w:right w:w="80" w:type="dxa"/>
            </w:tcMar>
          </w:tcPr>
          <w:p>
            <w:pPr>
              <w:spacing w:before="0" w:after="0" w:lineRule="exact" w:line="196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7"/>
              </w:rPr>
              <w:t>425 ms</w:t>
            </w:r>
          </w:p>
        </w:tc>
      </w:tr>
    </w:tbl>
    <w:p>
      <w:pPr>
        <w:spacing w:before="92" w:after="0" w:lineRule="exact" w:line="196"/>
        <w:ind w:left="126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7"/>
        </w:rPr>
        <w:t>+ in-domain reranker 0.671 0.588 690 ms</w:t>
      </w:r>
    </w:p>
    <w:p>
      <w:pPr>
        <w:spacing w:before="0" w:after="0" w:lineRule="exact" w:line="112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453"/>
        <w:gridCol w:w="1920"/>
        <w:gridCol w:w="2347"/>
        <w:gridCol w:w="2080"/>
      </w:tblGrid>
      <w:tr>
        <w:tc>
          <w:tcPr>
            <w:tcW w:w="3453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92" w:type="dxa"/>
              <w:left w:w="124" w:type="dxa"/>
              <w:bottom w:w="112" w:type="dxa"/>
              <w:right w:w="80" w:type="dxa"/>
            </w:tcMar>
          </w:tcPr>
          <w:p>
            <w:pPr>
              <w:spacing w:before="0" w:after="0" w:lineRule="exact" w:line="196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7"/>
              </w:rPr>
              <w:t>+ query rewriting</w:t>
            </w:r>
          </w:p>
        </w:tc>
        <w:tc>
          <w:tcPr>
            <w:tcW w:w="192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92" w:type="dxa"/>
              <w:left w:w="130" w:type="dxa"/>
              <w:bottom w:w="112" w:type="dxa"/>
              <w:right w:w="80" w:type="dxa"/>
            </w:tcMar>
          </w:tcPr>
          <w:p>
            <w:pPr>
              <w:spacing w:before="0" w:after="0" w:lineRule="exact" w:line="196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7"/>
              </w:rPr>
              <w:t>0.688</w:t>
            </w:r>
          </w:p>
        </w:tc>
        <w:tc>
          <w:tcPr>
            <w:tcW w:w="2347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92" w:type="dxa"/>
              <w:left w:w="128" w:type="dxa"/>
              <w:bottom w:w="112" w:type="dxa"/>
              <w:right w:w="80" w:type="dxa"/>
            </w:tcMar>
          </w:tcPr>
          <w:p>
            <w:pPr>
              <w:spacing w:before="0" w:after="0" w:lineRule="exact" w:line="196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7"/>
              </w:rPr>
              <w:t>0.601</w:t>
            </w:r>
          </w:p>
        </w:tc>
        <w:tc>
          <w:tcPr>
            <w:tcW w:w="208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92" w:type="dxa"/>
              <w:left w:w="130" w:type="dxa"/>
              <w:bottom w:w="112" w:type="dxa"/>
              <w:right w:w="80" w:type="dxa"/>
            </w:tcMar>
          </w:tcPr>
          <w:p>
            <w:pPr>
              <w:spacing w:before="0" w:after="0" w:lineRule="exact" w:line="196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7"/>
              </w:rPr>
              <w:t>940 ms</w:t>
            </w:r>
          </w:p>
        </w:tc>
      </w:tr>
    </w:tbl>
    <w:p>
      <w:pPr>
        <w:spacing w:before="0" w:after="0" w:lineRule="exact" w:line="214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800"/>
      </w:tblGrid>
      <w:tr>
        <w:tc>
          <w:tcPr>
            <w:tcW w:w="9800" w:type="dxa"/>
            <w:shd w:val="clear" w:fill="FDF1E8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266" w:type="dxa"/>
              <w:bottom w:w="174" w:type="dxa"/>
              <w:right w:w="80" w:type="dxa"/>
            </w:tcMar>
          </w:tcPr>
          <w:p>
            <w:pPr>
              <w:spacing w:before="0" w:after="0" w:lineRule="exact" w:line="266"/>
              <w:jc w:val="left"/>
            </w:pPr>
            <w:r>
              <w:rPr>
                <w:rFonts w:ascii="Georgia" w:hAnsi="Georgia" w:cs="Georgia" w:eastAsia="Georgia"/>
                <w:b/>
                <w:i w:val="0"/>
                <w:color w:val="1A1A1A"/>
                <w:sz w:val="19"/>
              </w:rPr>
              <w:t>Caveat.</w:t>
            </w: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 Latency is measured on warm caches. Cold-start numbers are roughly 1.8x higher and are reported in </w:t>
            </w: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Appendix B.</w:t>
            </w:r>
          </w:p>
        </w:tc>
      </w:tr>
    </w:tbl>
    <w:p>
      <w:pPr>
        <w:keepNext/>
        <w:spacing w:before="350" w:after="0" w:lineRule="exact" w:line="288"/>
        <w:ind w:left="2"/>
        <w:jc w:val="left"/>
        <w:outlineLvl w:val="0"/>
      </w:pPr>
      <w:r>
        <w:rPr>
          <w:rFonts w:ascii="Arial" w:hAnsi="Arial" w:cs="Arial" w:eastAsia="Arial"/>
          <w:b/>
          <w:i w:val="0"/>
          <w:color w:val="123A5E"/>
          <w:sz w:val="25"/>
        </w:rPr>
        <w:t>4. Recommendations</w:t>
      </w:r>
    </w:p>
    <w:p>
      <w:pPr>
        <w:spacing w:before="170" w:after="0" w:lineRule="exact" w:line="216"/>
        <w:ind w:left="182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1. Instrument tail precision as a first-class SLO.</w:t>
      </w:r>
    </w:p>
    <w:p>
      <w:pPr>
        <w:spacing w:before="130" w:after="0" w:lineRule="exact" w:line="216"/>
        <w:ind w:left="158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2. Re-chunk on document structure, not token windows.</w:t>
      </w:r>
    </w:p>
    <w:p>
      <w:pPr>
        <w:spacing w:before="0" w:after="0" w:lineRule="exact" w:line="20"/>
      </w:pPr>
      <w:r>
        <w:br w:type="page"/>
      </w:r>
    </w:p>
    <w:p>
      <w:pPr>
        <w:spacing w:before="1112" w:after="0" w:lineRule="exact" w:line="216"/>
        <w:ind w:left="16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3. Train the reranker on the served distribution.</w:t>
      </w:r>
    </w:p>
    <w:p>
      <w:pPr>
        <w:spacing w:before="236" w:after="0" w:lineRule="exact" w:line="216"/>
        <w:ind w:left="456"/>
        <w:jc w:val="left"/>
      </w:pPr>
      <w:r>
        <w:rPr>
          <w:rFonts w:ascii="Georgia" w:hAnsi="Georgia" w:cs="Georgia" w:eastAsia="Georgia"/>
          <w:b w:val="0"/>
          <w:i/>
          <w:color w:val="444444"/>
          <w:sz w:val="19"/>
        </w:rPr>
        <w:t>The systems that failed did not fail loudly. They returned plausible documents that were subtly wrong.</w:t>
      </w:r>
    </w:p>
    <w:p>
      <w:pPr>
        <w:spacing w:before="224" w:after="0" w:lineRule="exact" w:line="216"/>
        <w:ind w:left="2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The mitigation is unglamorous. Chunk boundaries must respect document structure rather than token counts, and the</w:t>
      </w:r>
    </w:p>
    <w:p>
      <w:pPr>
        <w:spacing w:before="64" w:after="0" w:lineRule="exact" w:line="216"/>
        <w:ind w:left="2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reranker has to be trained on the same distribution it will serve. Everything else is tuning.</w:t>
      </w:r>
    </w:p>
    <w:sectPr w:rsidR="00FC693F" w:rsidRPr="0006063C" w:rsidSect="00034616">
      <w:pgSz w:w="12240" w:h="15840"/>
      <w:pgMar w:top="200" w:right="1210" w:bottom="1028" w:left="1228" w:header="720" w:footer="720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