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78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FF0000"/>
          <w:sz w:val="24"/>
        </w:rPr>
        <w:t xml:space="preserve">Provided proper attribution is provided, Google hereby grants permission to </w:t>
      </w:r>
      <w:r>
        <w:rPr>
          <w:rFonts w:ascii="Times New Roman" w:hAnsi="Times New Roman" w:cs="Times New Roman" w:eastAsia="Times New Roman"/>
          <w:b w:val="0"/>
          <w:i w:val="0"/>
          <w:color w:val="FF0000"/>
          <w:sz w:val="24"/>
        </w:rPr>
        <w:t>reproduce the tables and figures in this paper solely for use in journalistic or</w:t>
      </w:r>
    </w:p>
    <w:p>
      <w:pPr>
        <w:spacing w:before="2" w:after="0" w:lineRule="exact" w:line="278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FF0000"/>
          <w:sz w:val="24"/>
        </w:rPr>
        <w:t>scholarly works.</w:t>
      </w:r>
    </w:p>
    <w:p>
      <w:pPr>
        <w:spacing w:before="276" w:after="0" w:lineRule="atLeast" w:line="160"/>
        <w:jc w:val="center"/>
      </w:pPr>
      <w:r>
        <w:drawing>
          <wp:inline xmlns:a="http://schemas.openxmlformats.org/drawingml/2006/main" xmlns:pic="http://schemas.openxmlformats.org/drawingml/2006/picture">
            <wp:extent cx="5080000" cy="101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30" w:after="0" w:lineRule="exact" w:line="40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4"/>
        </w:rPr>
        <w:t>Attention Is All You Need</w:t>
      </w:r>
    </w:p>
    <w:p>
      <w:pPr>
        <w:spacing w:before="250" w:after="0" w:lineRule="exact" w:line="40"/>
        <w:pBdr>
          <w:top w:val="nil"/>
          <w:left w:val="nil"/>
          <w:bottom w:val="single" w:sz="8" w:space="0" w:color="000000"/>
          <w:right w:val="nil"/>
        </w:pBdr>
      </w:pPr>
      <w:r>
        <w:rPr>
          <w:sz w:val="2"/>
        </w:rPr>
      </w:r>
    </w:p>
    <w:p>
      <w:pPr>
        <w:spacing w:before="1102" w:after="0" w:lineRule="exact" w:line="232"/>
        <w:ind w:left="50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Ashish Vaswani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∗</w:t>
      </w:r>
    </w:p>
    <w:p>
      <w:pPr>
        <w:spacing w:before="0" w:after="0" w:lineRule="exact" w:line="232"/>
        <w:ind w:left="262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Noam Shazeer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∗</w:t>
      </w:r>
    </w:p>
    <w:p>
      <w:pPr>
        <w:spacing w:before="0" w:after="0" w:lineRule="exact" w:line="218"/>
        <w:ind w:left="4316" w:firstLine="298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Niki Parmar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∗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Research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nikip@google.com</w:t>
      </w:r>
    </w:p>
    <w:p>
      <w:pPr>
        <w:spacing w:before="0" w:after="0" w:lineRule="exact" w:line="218"/>
        <w:ind w:left="6284" w:firstLine="44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Jakob Uszkoreit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∗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Research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usz@google.com</w:t>
      </w:r>
    </w:p>
    <w:p>
      <w:pPr>
        <w:spacing w:before="0" w:after="0" w:lineRule="exact" w:line="218"/>
        <w:ind w:left="174" w:firstLine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Brain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avaswani@google.com</w:t>
      </w:r>
    </w:p>
    <w:p>
      <w:pPr>
        <w:spacing w:before="0" w:after="0" w:lineRule="exact" w:line="218"/>
        <w:ind w:left="2454" w:firstLine="24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Brain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noam@google.com</w:t>
      </w:r>
    </w:p>
    <w:p>
      <w:pPr>
        <w:spacing w:before="346" w:after="0" w:lineRule="exact" w:line="218"/>
        <w:ind w:left="378" w:firstLine="348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Llion Jones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∗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Research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llion@google.com</w:t>
      </w:r>
    </w:p>
    <w:p>
      <w:pPr>
        <w:spacing w:before="0" w:after="0" w:lineRule="exact" w:line="218"/>
        <w:ind w:left="2550" w:firstLine="268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Aidan N. Gomez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∗†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University of Toronto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aidan@cs.toronto.edu</w:t>
      </w:r>
    </w:p>
    <w:p>
      <w:pPr>
        <w:spacing w:before="0" w:after="0" w:lineRule="exact" w:line="232"/>
        <w:ind w:left="5724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Łukasz Kaiser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∗</w:t>
      </w:r>
    </w:p>
    <w:p>
      <w:pPr>
        <w:spacing w:before="0" w:after="0" w:lineRule="exact" w:line="218"/>
        <w:ind w:left="5138" w:firstLine="66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Google Brain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lukaszkaiser@google.com</w:t>
      </w:r>
    </w:p>
    <w:p>
      <w:pPr>
        <w:spacing w:before="346" w:after="0" w:lineRule="exact" w:line="218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Illia Polosukhin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∗‡ 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illia.polosukhin@gmail.com</w:t>
      </w:r>
    </w:p>
    <w:p>
      <w:pPr>
        <w:keepNext/>
        <w:spacing w:before="554" w:after="0" w:lineRule="exact" w:line="278"/>
        <w:jc w:val="center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Abstract</w:t>
      </w:r>
    </w:p>
    <w:p>
      <w:pPr>
        <w:spacing w:before="298" w:after="0" w:lineRule="exact" w:line="218"/>
        <w:ind w:left="712" w:right="6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dominant sequence transduction models are based on complex recurrent 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convolutional neural networks that include an encoder and a decoder. The best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performing models also connect the encoder and decoder through an attention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mechanism. We propose a new simple network architecture, the Transformer,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based solely on attention mechanisms, dispensing with recurrence and convolutions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entirely. Experiments on two machine translation tasks show these models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 superior in quality while being more parallelizable and requiring significantly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less time to train. Our model achieves 28.4 BLEU on the WMT 2014 English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to-German translation task, improving over the existing best results, including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ensembles, by over 2 BLEU. On the WMT 2014 English-to-French translation task,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our model establishes a new single-model state-of-the-art BLEU score of 41.8 after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training for 3.5 days on eight GPUs, a small fraction of the training costs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best models from the literature. We show that the Transformer generalizes well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other tasks by applying it successfully to English constituency parsing both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large and limited training data.</w:t>
      </w:r>
    </w:p>
    <w:p>
      <w:pPr>
        <w:spacing w:before="412" w:after="0" w:lineRule="exact" w:line="40"/>
        <w:ind w:right="5056"/>
        <w:pBdr>
          <w:top w:val="nil"/>
          <w:left w:val="nil"/>
          <w:bottom w:val="single" w:sz="4" w:space="0" w:color="000000"/>
          <w:right w:val="nil"/>
        </w:pBdr>
      </w:pPr>
      <w:r>
        <w:rPr>
          <w:sz w:val="2"/>
        </w:rPr>
      </w:r>
    </w:p>
    <w:p>
      <w:pPr>
        <w:spacing w:before="0" w:after="0" w:lineRule="exact" w:line="200"/>
        <w:ind w:left="2" w:firstLine="236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12"/>
        </w:rPr>
        <w:t>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Equal contribution. Listing order is random. Jakob proposed replacing RNNs with self-attention and started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the effort to evaluate this idea. Ashish, with Illia, designed and implemented the first Transformer models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has been crucially involved in every aspect of this work. Noam proposed scaled dot-product attention, multi-head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attention and the parameter-free position representation and became the other person involved in nearly every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detail. Niki designed, implemented, tuned and evaluated countless model variants in our original codebase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tensor2tensor. Llion also experimented with novel model variants, was responsible for our initial codebase,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efficient inference and visualizations. Lukasz and Aidan spent countless long days designing various parts of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implementing tensor2tensor, replacing our earlier codebase, greatly improving results and massively accelerating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our research.</w:t>
      </w:r>
    </w:p>
    <w:p>
      <w:pPr>
        <w:spacing w:before="0" w:after="0" w:lineRule="exact" w:line="218"/>
        <w:ind w:left="246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12"/>
        </w:rPr>
        <w:t>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Work performed while at Google Brain. </w:t>
      </w:r>
      <w:r>
        <w:rPr>
          <w:rFonts w:ascii="Times New Roman" w:hAnsi="Times New Roman" w:cs="Times New Roman" w:eastAsia="Times New Roman"/>
          <w:b w:val="0"/>
          <w:i/>
          <w:color w:val="000000"/>
          <w:sz w:val="12"/>
        </w:rPr>
        <w:t>‡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Work performed while at Google Research.</w:t>
      </w:r>
    </w:p>
    <w:p>
      <w:pPr>
        <w:spacing w:before="530" w:after="0" w:lineRule="exact" w:line="208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31st Conference on Neural Information Processing Systems (NIPS 2017), Long Beach, CA, USA.</w:t>
      </w:r>
    </w:p>
    <w:p>
      <w:pPr>
        <w:spacing w:before="0" w:after="0" w:lineRule="exact" w:line="20"/>
      </w:pPr>
      <w:r>
        <w:br w:type="page"/>
      </w:r>
    </w:p>
    <w:p>
      <w:pPr>
        <w:keepNext/>
        <w:spacing w:before="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 Introduction</w:t>
      </w:r>
    </w:p>
    <w:p>
      <w:pPr>
        <w:spacing w:before="26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Recurrent neural networks, long short-term memory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 and gated recurrent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 neural networks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particular, have been firmly established as state of the art approaches in sequence modeling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transduction problems such as language modeling and machine translation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Numerous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efforts have since continued to push the boundaries of recurrent language models and encoder-decoder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architectures [38, 24, 15].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Recurrent models typically factor computation along the symbol positions of the input and output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sequences. Aligning the positions to steps in computation time, they generate a sequence of hidden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states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h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as a function of the previous hidden state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h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t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−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 the input for position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This inherently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sequential nature precludes parallelization within training examples, which becomes critical at longer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sequence lengths, as memory constraints limit batching across examples. Recent work has achieved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significant improvements in computational efficiency through factorization tricks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 and conditional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computation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while also improving model performance in case of the latter. The fundamental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constraint of sequential computation, however, remains.</w:t>
      </w:r>
    </w:p>
    <w:p>
      <w:pPr>
        <w:spacing w:before="1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Attention mechanisms have become an integral part of compelling sequence modeling and transduc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tion models in various tasks, allowing modeling of dependencies without regard to their distance 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input or output sequences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19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]. In all but a few cases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however, such attention mechanisms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are used in conjunction with a recurrent network.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this work we propose the Transformer, a model architecture eschewing recurrence and instead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relying entirely on an attention mechanism to draw global dependencies between input and output.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Transformer allows for significantly more parallelization and can reach a new state of the art 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translation quality after being trained for as little as twelve hours on eight P100 GPUs.</w:t>
      </w:r>
    </w:p>
    <w:p>
      <w:pPr>
        <w:keepNext/>
        <w:spacing w:before="35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 Background</w:t>
      </w:r>
    </w:p>
    <w:p>
      <w:pPr>
        <w:spacing w:before="266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goal of reducing sequential computation also forms the foundation of the Extended Neural GPU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], ByteNet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 and ConvS2S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9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all of which use convolutional neural networks as basic building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block, computing hidden representations in parallel for all input and output positions. In these models,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number of operations required to relate signals from two arbitrary input or output positions grows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the distance between positions, linearly for ConvS2S and logarithmically for ByteNet. This makes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it more difficult to learn dependencies between distant positions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In the Transformer this 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reduced to a constant number of operations, albeit at the cost of reduced effective resolution due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 averaging attention-weighted positions, an effect we counteract with Multi-Head Attention 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described in section 3.2.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Self-attention, sometimes called intra-attention is an attention mechanism relating different positions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of a single sequence in order to compute a representation of the sequence. Self-attention has been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used successfully in a variety of tasks including reading comprehension, abstractive summarization,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textual entailment and learning task-independent sentence representations [4, 27, 28, 22].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End-to-end memory networks are based on a recurrent attention mechanism instead of sequence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aligned recurrence and have been shown to perform well on simple-language question answering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language modeling tasks [34].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 the best of our knowledge, however, the Transformer is the first transduction model relying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entirely on self-attention to compute representations of its input and output without using sequence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aligned RNNs or convolution. In the following sections, we will describe the Transformer, motivate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self-attention and discuss its advantages over models such as [17, 18] and [9].</w:t>
      </w:r>
    </w:p>
    <w:p>
      <w:pPr>
        <w:keepNext/>
        <w:spacing w:before="35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 Model Architecture</w:t>
      </w:r>
    </w:p>
    <w:p>
      <w:pPr>
        <w:spacing w:before="26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Most competitive neural sequence transduction models have an encoder-decoder structure [5, 2, 35].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Here, the encoder maps an input sequence of symbol representations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 x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to a sequence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of continuous representations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 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 z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Given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 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the decoder then generates an output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sequence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 y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m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of symbols one element at a time. At each step the model is auto-regressive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[10], consuming the previously generated symbols as additional input when generating the next.</w:t>
      </w:r>
    </w:p>
    <w:p>
      <w:pPr>
        <w:spacing w:before="0" w:after="0" w:lineRule="exact" w:line="20"/>
      </w:pPr>
      <w:r>
        <w:br w:type="page"/>
      </w:r>
    </w:p>
    <w:p>
      <w:pPr>
        <w:spacing w:before="16" w:after="0" w:lineRule="atLeast" w:line="6448"/>
        <w:jc w:val="center"/>
      </w:pPr>
      <w:r>
        <w:drawing>
          <wp:inline xmlns:a="http://schemas.openxmlformats.org/drawingml/2006/main" xmlns:pic="http://schemas.openxmlformats.org/drawingml/2006/picture">
            <wp:extent cx="2779776" cy="4094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409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8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Figure 1: The Transformer - model architecture.</w:t>
      </w:r>
    </w:p>
    <w:p>
      <w:pPr>
        <w:spacing w:before="424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Transformer follows this overall architecture using stacked self-attention and point-wise, fully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connected layers for both the encoder and decoder, shown in the left and right halves of Figure 1,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respectively.</w:t>
      </w:r>
    </w:p>
    <w:p>
      <w:pPr>
        <w:spacing w:before="25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3.1 Encoder and Decoder Stacks</w:t>
      </w:r>
    </w:p>
    <w:p>
      <w:pPr>
        <w:spacing w:before="182" w:after="0" w:lineRule="exact" w:line="218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Encoder: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encoder is composed of a stack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identical layers. Each layer has two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sub-layers. The first is a multi-head self-attention mechanism, and the second is a simple, position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wise fully connected feed-forward network. We employ a residual connection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 around each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two sub-layers, followed by layer normalization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That is, the output of each sub-layer 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LayerNorm(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+ Sublayer(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where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Sublayer(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function implemented by the sub-layer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itself. To facilitate these residual connections, all sub-layers in the model, as well as the embedding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layers, produce outputs of dimension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512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44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Decoder: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decoder is also composed of a stack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identical layers. In addition to the two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sub-layers in each encoder layer, the decoder inserts a third sub-layer, which performs multi-head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attention over the output of the encoder stack. Similar to the encoder, we employ residual connections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around each of the sub-layers, followed by layer normalization. We also modify the self-attention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sub-layer in the decoder stack to prevent positions from attending to subsequent positions. This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masking, combined with fact that the output embeddings are offset by one position, ensures that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predictions for position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can depend only on the known outputs at positions less than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5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3.2 Attention</w:t>
      </w:r>
    </w:p>
    <w:p>
      <w:pPr>
        <w:spacing w:before="182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 attention function can be described as mapping a query and a set of key-value pairs to an output,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where the query, keys, values, and output are all vectors. The output is computed as a weighted sum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32"/>
        <w:ind w:left="796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Scaled Dot-Product Attention Multi-Head Attention</w:t>
      </w:r>
    </w:p>
    <w:p>
      <w:pPr>
        <w:spacing w:before="36" w:after="0" w:lineRule="atLeast" w:line="3692"/>
        <w:ind w:left="4776"/>
        <w:jc w:val="left"/>
      </w:pPr>
      <w:r>
        <w:drawing>
          <wp:inline xmlns:a="http://schemas.openxmlformats.org/drawingml/2006/main" xmlns:pic="http://schemas.openxmlformats.org/drawingml/2006/picture">
            <wp:extent cx="1527047" cy="23445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7047" cy="234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tLeast" w:line="2546"/>
        <w:ind w:left="1340"/>
        <w:jc w:val="left"/>
      </w:pPr>
      <w:r>
        <w:drawing>
          <wp:inline xmlns:a="http://schemas.openxmlformats.org/drawingml/2006/main" xmlns:pic="http://schemas.openxmlformats.org/drawingml/2006/picture">
            <wp:extent cx="813816" cy="1616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61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3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Figure 2: (left) Scaled Dot-Product Attention. (right) Multi-Head Attention consists of several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attention layers running in parallel.</w:t>
      </w:r>
    </w:p>
    <w:p>
      <w:pPr>
        <w:spacing w:before="41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of the values, where the weight assigned to each value is computed by a compatibility function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query with the corresponding key.</w:t>
      </w:r>
    </w:p>
    <w:p>
      <w:pPr>
        <w:spacing w:before="230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3.2.1 Scaled Dot-Product Attention</w:t>
      </w:r>
    </w:p>
    <w:p>
      <w:pPr>
        <w:spacing w:before="154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call our particular attention "Scaled Dot-Product Attention" (Figure 2). The input consists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queries and keys of dimension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u w:val="single"/>
        </w:rPr>
        <w:t>, and values of dimension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We compute the dot products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query with all keys, divide each by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√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and apply a softmax function to obtain the weights on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values.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practice, we compute the attention function on a set of queries simultaneously, packed together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into a matrix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The keys and values are also packed together into matrices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. We compute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matrix of outputs as:</w:t>
      </w:r>
    </w:p>
    <w:p>
      <w:pPr>
        <w:spacing w:before="418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Attention(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Q, K, 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) = softmax(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QK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T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√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k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V</w:t>
      </w:r>
    </w:p>
    <w:p>
      <w:pPr>
        <w:spacing w:before="0" w:after="0" w:lineRule="exact" w:line="232"/>
        <w:ind w:left="7702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(1)</w:t>
      </w:r>
    </w:p>
    <w:p>
      <w:pPr>
        <w:spacing w:before="3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two most commonly used attention functions are additive attention [2], and dot-product (multi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plicative) attention. Dot-product attention is identical to our algorithm, except for the scaling factor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of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√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. Additive attention computes the compatibility function using a feed-forward network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 single hidden layer. While the two are similar in theoretical complexity, dot-product attention 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much faster and more space-efficient in practice, since it can be implemented using highly optimized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matrix multiplication code.</w:t>
      </w:r>
    </w:p>
    <w:p>
      <w:pPr>
        <w:spacing w:before="154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While for small values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the two mechanisms perform similarly, additive attention outperforms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dot product attention without scaling for larger values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[3]. We suspect that for large values of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the dot products grow large in magnitude, pushing the softmax function into regions where it has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extremely small gradients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To counteract this effect, we scale the dot products by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√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.</w:t>
      </w:r>
    </w:p>
    <w:p>
      <w:pPr>
        <w:spacing w:before="27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3.2.2 Multi-Head Attention</w:t>
      </w:r>
    </w:p>
    <w:p>
      <w:pPr>
        <w:spacing w:before="154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Instead of performing a single attention function with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-dimensional keys, values and queries,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we found it beneficial to linearly project the queries, keys and values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times with different, learned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linear projections to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dimensions, respectively. On each of these projected versions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queries, keys and values we then perform the attention function in parallel, yielding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-dimensional</w:t>
      </w:r>
    </w:p>
    <w:p>
      <w:pPr>
        <w:spacing w:before="122" w:after="0" w:lineRule="exact" w:line="40"/>
        <w:ind w:right="5056"/>
        <w:pBdr>
          <w:top w:val="nil"/>
          <w:left w:val="nil"/>
          <w:bottom w:val="single" w:sz="4" w:space="0" w:color="000000"/>
          <w:right w:val="nil"/>
        </w:pBdr>
      </w:pPr>
      <w:r>
        <w:rPr>
          <w:sz w:val="2"/>
        </w:rPr>
      </w:r>
    </w:p>
    <w:p>
      <w:pPr>
        <w:spacing w:before="0" w:after="0" w:lineRule="exact" w:line="304"/>
        <w:ind w:firstLine="25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  <w:t>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To illustrate why the dot products get large, assume that the components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are independent random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variables with mean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and variance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. Then their dot product,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q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·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=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  <w:vertAlign w:val="superscript"/>
        </w:rPr>
        <w:t>�</w:t>
      </w:r>
      <w:r>
        <w:rPr>
          <w:rFonts w:ascii="Times New Roman" w:hAnsi="Times New Roman" w:cs="Times New Roman" w:eastAsia="Times New Roman"/>
          <w:b w:val="0"/>
          <w:i/>
          <w:color w:val="000000"/>
          <w:sz w:val="12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  <w:vertAlign w:val="superscript"/>
        </w:rPr>
        <w:t>k</w:t>
      </w:r>
    </w:p>
    <w:p>
      <w:pPr>
        <w:spacing w:before="0" w:after="0" w:lineRule="exact" w:line="138"/>
        <w:ind w:left="5212"/>
        <w:jc w:val="right"/>
      </w:pPr>
      <w:r>
        <w:rPr>
          <w:rFonts w:ascii="Times New Roman" w:hAnsi="Times New Roman" w:cs="Times New Roman" w:eastAsia="Times New Roman"/>
          <w:b w:val="0"/>
          <w:i/>
          <w:color w:val="000000"/>
          <w:sz w:val="12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  <w:t>=1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  <w:vertAlign w:val="superscript"/>
        </w:rPr>
        <w:t>q</w:t>
      </w:r>
      <w:r>
        <w:rPr>
          <w:rFonts w:ascii="Times New Roman" w:hAnsi="Times New Roman" w:cs="Times New Roman" w:eastAsia="Times New Roman"/>
          <w:b w:val="0"/>
          <w:i/>
          <w:color w:val="000000"/>
          <w:sz w:val="12"/>
          <w:vertAlign w:val="superscript"/>
        </w:rPr>
        <w:t>i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  <w:vertAlign w:val="superscript"/>
        </w:rPr>
        <w:t>k</w:t>
      </w:r>
      <w:r>
        <w:rPr>
          <w:rFonts w:ascii="Times New Roman" w:hAnsi="Times New Roman" w:cs="Times New Roman" w:eastAsia="Times New Roman"/>
          <w:b w:val="0"/>
          <w:i/>
          <w:color w:val="000000"/>
          <w:sz w:val="12"/>
          <w:vertAlign w:val="superscript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  <w:vertAlign w:val="superscript"/>
        </w:rPr>
        <w:t>, has mean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  <w:vertAlign w:val="superscript"/>
        </w:rPr>
        <w:t xml:space="preserve"> 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  <w:vertAlign w:val="superscript"/>
        </w:rPr>
        <w:t xml:space="preserve"> and variance</w:t>
      </w:r>
      <w:r>
        <w:rPr>
          <w:rFonts w:ascii="Times New Roman" w:hAnsi="Times New Roman" w:cs="Times New Roman" w:eastAsia="Times New Roman"/>
          <w:b w:val="0"/>
          <w:i/>
          <w:color w:val="000000"/>
          <w:sz w:val="18"/>
          <w:vertAlign w:val="superscript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2"/>
          <w:vertAlign w:val="superscript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  <w:vertAlign w:val="superscript"/>
        </w:rPr>
        <w:t>.</w:t>
      </w:r>
    </w:p>
    <w:p>
      <w:pPr>
        <w:spacing w:before="0" w:after="0" w:lineRule="exact" w:line="20"/>
      </w:pPr>
      <w:r>
        <w:br w:type="page"/>
      </w:r>
    </w:p>
    <w:p>
      <w:pPr>
        <w:spacing w:before="4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output values. These are concatenated and once again projected, resulting in the final values, 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depicted in Figure 2.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Multi-head attention allows the model to jointly attend to information from different representation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subspaces at different positions. With a single attention head, averaging inhibits this.</w:t>
      </w:r>
    </w:p>
    <w:p>
      <w:pPr>
        <w:spacing w:before="472" w:after="0" w:lineRule="exact" w:line="232"/>
        <w:ind w:left="158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MultiHead(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Q, K, 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) = Concat(head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head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O</w:t>
      </w:r>
    </w:p>
    <w:p>
      <w:pPr>
        <w:spacing w:before="106" w:after="0" w:lineRule="exact" w:line="232"/>
        <w:ind w:left="23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where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head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Attention(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QW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Q</w:t>
      </w:r>
    </w:p>
    <w:p>
      <w:pPr>
        <w:spacing w:before="0" w:after="0" w:lineRule="exact" w:line="162"/>
        <w:ind w:left="4856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, KW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 K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, V 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 xml:space="preserve"> V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>)</w:t>
      </w:r>
    </w:p>
    <w:p>
      <w:pPr>
        <w:spacing w:before="550" w:after="0" w:lineRule="exact" w:line="22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Where the projections are parameter matrices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Q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</w:p>
    <w:p>
      <w:pPr>
        <w:spacing w:before="0" w:after="0" w:lineRule="exact" w:line="244"/>
        <w:ind w:left="2" w:firstLine="6942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∈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×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  <w:vertAlign w:val="superscript"/>
        </w:rPr>
        <w:t xml:space="preserve">v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O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∈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hd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  <w:vertAlign w:val="superscript"/>
        </w:rPr>
        <w:t>v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×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0" w:after="0" w:lineRule="exact" w:line="232"/>
        <w:ind w:left="5462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∈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×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  <w:vertAlign w:val="superscript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V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</w:p>
    <w:p>
      <w:pPr>
        <w:spacing w:before="0" w:after="0" w:lineRule="exact" w:line="232"/>
        <w:ind w:left="3966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∈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×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0"/>
          <w:vertAlign w:val="superscript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W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K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</w:p>
    <w:p>
      <w:pPr>
        <w:spacing w:before="354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this work we employ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parallel attention layers, or heads. For each of these we use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/h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64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Due to the reduced dimension of each head, the total computational cost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is similar to that of single-head attention with full dimensionality.</w:t>
      </w:r>
    </w:p>
    <w:p>
      <w:pPr>
        <w:spacing w:before="252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3.2.3 Applications of Attention in our Model</w:t>
      </w:r>
    </w:p>
    <w:p>
      <w:pPr>
        <w:spacing w:before="150" w:after="0" w:lineRule="exact" w:line="2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Transformer uses multi-head attention in three different ways:</w:t>
      </w:r>
    </w:p>
    <w:p>
      <w:pPr>
        <w:tabs>
          <w:tab w:pos="718" w:val="left"/>
        </w:tabs>
        <w:spacing w:before="198" w:after="0" w:lineRule="exact" w:line="218"/>
        <w:ind w:left="718" w:hanging="17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"encoder-decoder attention" layers, the queries come from the previous decoder layer,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the memory keys and values come from the output of the encoder. This allows every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position in the decoder to attend over all positions in the input sequence. This mimics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typical encoder-decoder attention mechanisms in sequence-to-sequence models such 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[38, 2, 9].</w:t>
      </w:r>
    </w:p>
    <w:p>
      <w:pPr>
        <w:tabs>
          <w:tab w:pos="712" w:val="left"/>
        </w:tabs>
        <w:spacing w:before="98" w:after="0" w:lineRule="exact" w:line="218"/>
        <w:ind w:left="712" w:hanging="16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encoder contains self-attention layers. In a self-attention layer all of the keys, values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queries come from the same place, in this case, the output of the previous layer in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encoder. Each position in the encoder can attend to all positions in the previous layer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encoder.</w:t>
      </w:r>
    </w:p>
    <w:p>
      <w:pPr>
        <w:tabs>
          <w:tab w:pos="718" w:val="left"/>
        </w:tabs>
        <w:spacing w:before="98" w:after="0" w:lineRule="exact" w:line="218"/>
        <w:ind w:left="718" w:hanging="17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Similarly, self-attention layers in the decoder allow each position in the decoder to attend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all positions in the decoder up to and including that position. We need to prevent leftward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information flow in the decoder to preserve the auto-regressive property. We implement this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inside of scaled dot-product attention by masking out (setting to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−∞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 all values in the input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of the softmax which correspond to illegal connections. See Figure 2.</w:t>
      </w:r>
    </w:p>
    <w:p>
      <w:pPr>
        <w:spacing w:before="280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3.3 Position-wise Feed-Forward Networks</w:t>
      </w:r>
    </w:p>
    <w:p>
      <w:pPr>
        <w:spacing w:before="19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addition to attention sub-layers, each of the layers in our encoder and decoder contains a fully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connected feed-forward network, which is applied to each position separately and identically. This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consists of two linear transformations with a ReLU activation in between.</w:t>
      </w:r>
    </w:p>
    <w:p>
      <w:pPr>
        <w:spacing w:before="342" w:after="0" w:lineRule="exact" w:line="232"/>
        <w:ind w:left="238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FFN(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 = max(0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xW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W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(2)</w:t>
      </w:r>
    </w:p>
    <w:p>
      <w:pPr>
        <w:spacing w:before="21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While the linear transformations are the same across different positions, they use different parameters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from layer to layer. Another way of describing this is as two convolutions with kernel size 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dimensionality of input and output is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512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and the inner-layer has dimensionality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ff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2048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80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3.4 Embeddings and Softmax</w:t>
      </w:r>
    </w:p>
    <w:p>
      <w:pPr>
        <w:spacing w:before="19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Similarly to other sequence transduction models, we use learned embeddings to convert the input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tokens and output tokens to vectors of dimension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We also use the usual learned linear transfor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mation and softmax function to convert the decoder output to predicted next-token probabilities. 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u w:val="single"/>
        </w:rPr>
        <w:t xml:space="preserve">our model, we share the same weight matrix between the two embedding layers and the pre-softmax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linear transformation, similar to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]. In the embedding layers, we multiply those weights by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√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Table 1: Maximum path lengths, per-layer complexity and minimum number of sequential operations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for different layer types.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sequence length,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representation dimension,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kernel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size of convolutions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the size of the neighborhood in restricted self-attention.</w:t>
      </w:r>
    </w:p>
    <w:p>
      <w:pPr>
        <w:spacing w:before="0" w:after="0" w:lineRule="exact" w:line="2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7927" w:type="dxa"/>
        <w:tblInd w:w="2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95"/>
        <w:gridCol w:w="1800"/>
        <w:gridCol w:w="252"/>
        <w:gridCol w:w="914"/>
        <w:gridCol w:w="297"/>
        <w:gridCol w:w="225"/>
        <w:gridCol w:w="1889"/>
      </w:tblGrid>
      <w:tr>
        <w:tc>
          <w:tcPr>
            <w:tcW w:w="22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Layer Type</w:t>
            </w:r>
          </w:p>
        </w:tc>
        <w:tc>
          <w:tcPr>
            <w:tcW w:w="29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Complexity per Layer</w:t>
            </w:r>
          </w:p>
        </w:tc>
        <w:tc>
          <w:tcPr>
            <w:tcW w:w="252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Sequential</w:t>
            </w:r>
          </w:p>
        </w:tc>
        <w:tc>
          <w:tcPr>
            <w:tcW w:w="29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Maximum Path Length</w:t>
            </w:r>
          </w:p>
        </w:tc>
      </w:tr>
      <w:tr>
        <w:tc>
          <w:tcPr>
            <w:tcW w:w="2256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95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52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w="297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2256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95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28" w:type="dxa"/>
              <w:left w:w="9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w="252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9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Self-Attention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Recurrent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Convolutional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log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))</w:t>
            </w:r>
          </w:p>
        </w:tc>
      </w:tr>
      <w:tr>
        <w:tc>
          <w:tcPr>
            <w:tcW w:w="225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20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Self-Attention (restricted)</w:t>
            </w:r>
          </w:p>
        </w:tc>
        <w:tc>
          <w:tcPr>
            <w:tcW w:w="29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6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w="25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1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42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w="29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88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n/r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spacing w:before="502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3.5 Positional Encoding</w:t>
      </w:r>
    </w:p>
    <w:p>
      <w:pPr>
        <w:spacing w:before="18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Since our model contains no recurrence and no convolution, in order for the model to make use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order of the sequence, we must inject some information about the relative or absolute position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tokens in the sequence. To this end, we add "positional encodings" to the input embeddings at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bottoms of the encoder and decoder stacks. The positional encodings have the same dimension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 xml:space="preserve">model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as the embeddings, so that the two can be summed. There are many choices of positional encodings,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learned and fixed [9].</w:t>
      </w:r>
    </w:p>
    <w:p>
      <w:pPr>
        <w:spacing w:before="96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this work, we use sine and cosine functions of different frequencies:</w:t>
      </w:r>
    </w:p>
    <w:p>
      <w:pPr>
        <w:spacing w:before="436" w:after="0" w:lineRule="exact" w:line="232"/>
        <w:ind w:left="2552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pos,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sin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pos/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10000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2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i/d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</w:p>
    <w:p>
      <w:pPr>
        <w:spacing w:before="106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pos,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+1)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pos/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10000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2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i/d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0"/>
          <w:vertAlign w:val="superscript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</w:p>
    <w:p>
      <w:pPr>
        <w:spacing w:before="232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where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pos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position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the dimension. That is, each dimension of the positional encoding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corresponds to a sinusoid. The wavelengths form a geometric progression from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10000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We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chose this function because we hypothesized it would allow the model to easily learn to attend by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relative positions, since for any fixed offset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PE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pos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+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can be represented as a linear function of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PE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pos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also experimented with using learned positional embeddings [9] instead, and found that the two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versions produced nearly identical results (see Table 3 row (E)). We chose the sinusoidal version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because it may allow the model to extrapolate to sequence lengths longer than the ones encountered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during training.</w:t>
      </w:r>
    </w:p>
    <w:p>
      <w:pPr>
        <w:keepNext/>
        <w:spacing w:before="296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 Why Self-Attention</w:t>
      </w:r>
    </w:p>
    <w:p>
      <w:pPr>
        <w:spacing w:before="232" w:after="0" w:lineRule="exact" w:line="218"/>
        <w:ind w:firstLine="2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this section we compare various aspects of self-attention layers to the recurrent and convolu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tional layers commonly used for mapping one variable-length sequence of symbol representations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 x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to another sequence of equal length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..., z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with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, z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i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∈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such as a hidden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layer in a typical sequence transduction encoder or decoder. Motivating our use of self-attention we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consider three desiderata.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One is the total computational complexity per layer. Another is the amount of computation that can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be parallelized, as measured by the minimum number of sequential operations required.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third is the path length between long-range dependencies in the network. Learning long-range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dependencies is a key challenge in many sequence transduction tasks. One key factor affecting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ability to learn such dependencies is the length of the paths forward and backward signals have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traverse in the network. The shorter these paths between any combination of positions in the input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output sequences, the easier it is to learn long-range dependencies [12]. Hence we also compare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maximum path length between any two input and output positions in networks composed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different layer types.</w:t>
      </w:r>
    </w:p>
    <w:p>
      <w:pPr>
        <w:spacing w:before="1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As noted in Table 1, a self-attention layer connects all positions with a constant number of sequentially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executed operations, whereas a recurrent layer requires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sequential operations. In terms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computational complexity, self-attention layers are faster than recurrent layers when the sequence</w:t>
      </w:r>
    </w:p>
    <w:p>
      <w:pPr>
        <w:spacing w:before="0" w:after="0" w:lineRule="exact" w:line="20"/>
      </w:pPr>
      <w:r>
        <w:br w:type="page"/>
      </w:r>
    </w:p>
    <w:p>
      <w:pPr>
        <w:spacing w:before="4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length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is smaller than the representation dimensionality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which is most often the case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sentence representations used by state-of-the-art models in machine translations, such as word-piece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[38] and byte-pair [31] representations. To improve computational performance for tasks involving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very long sequences, self-attention could be restricted to considering only a neighborhood of size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input sequence centered around the respective output position. This would increase the maximum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path length to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n/r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We plan to investigate this approach further in future work.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 single convolutional layer with kernel width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 &lt;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does not connect all pairs of input and output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positions. Doing so requires a stack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n/k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convolutional layers in the case of contiguous kernels,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or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log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in the case of dilated convolutions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increasing the length of the longest paths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between any two positions in the network. Convolutional layers are generally more expensive than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recurrent layers, by a factor of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Separable convolutions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however, decrease the complexity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considerably, to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k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·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·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·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Even with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however, the complexity of a separable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convolution is equal to the combination of a self-attention layer and a point-wise feed-forward layer,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approach we take in our model.</w:t>
      </w:r>
    </w:p>
    <w:p>
      <w:pPr>
        <w:spacing w:before="1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As side benefit, self-attention could yield more interpretable models. We inspect attention distributions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from our models and present and discuss examples in the appendix. Not only do individual attention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heads clearly learn to perform different tasks, many appear to exhibit behavior related to the syntactic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and semantic structure of the sentences.</w:t>
      </w:r>
    </w:p>
    <w:p>
      <w:pPr>
        <w:keepNext/>
        <w:spacing w:before="346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5 Training</w:t>
      </w:r>
    </w:p>
    <w:p>
      <w:pPr>
        <w:spacing w:before="250" w:after="0" w:lineRule="exact" w:line="2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This section describes the training regime for our models.</w:t>
      </w:r>
    </w:p>
    <w:p>
      <w:pPr>
        <w:spacing w:before="30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5.1 Training Data and Batching</w:t>
      </w:r>
    </w:p>
    <w:p>
      <w:pPr>
        <w:spacing w:before="20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trained on the standard WMT 2014 English-German dataset consisting of about 4.5 million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sentence pairs. Sentences were encoded using byte-pair encoding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], which has a shared source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target vocabulary of about 37000 tokens. For English-French, we used the significantly larger WMT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2014 English-French dataset consisting of 36M sentences and split tokens into a 32000 word-piece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vocabulary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Sentence pairs were batched together by approximate sequence length. Each training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batch contained a set of sentence pairs containing approximately 25000 source tokens and 25000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target tokens.</w:t>
      </w:r>
    </w:p>
    <w:p>
      <w:pPr>
        <w:spacing w:before="30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5.2 Hardware and Schedule</w:t>
      </w:r>
    </w:p>
    <w:p>
      <w:pPr>
        <w:spacing w:before="20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trained our models on one machine with 8 NVIDIA P100 GPUs. For our base models using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hyperparameters described throughout the paper, each training step took about 0.4 seconds. We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trained the base models for a total of 100,000 steps or 12 hours. For our big models,(described on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bottom line of table 3), step time was 1.0 seconds. The big models were trained for 300,000 steps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(3.5 days).</w:t>
      </w:r>
    </w:p>
    <w:p>
      <w:pPr>
        <w:spacing w:before="30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5.3 Optimizer</w:t>
      </w:r>
    </w:p>
    <w:p>
      <w:pPr>
        <w:spacing w:before="20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We used the Adam optimizer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 with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9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98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10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−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9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We varied the learning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rate over the course of training, according to the formula:</w:t>
      </w:r>
    </w:p>
    <w:p>
      <w:pPr>
        <w:spacing w:before="376" w:after="0" w:lineRule="exact" w:line="232"/>
        <w:ind w:left="1098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lrate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−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0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5</w:t>
      </w:r>
    </w:p>
    <w:p>
      <w:pPr>
        <w:spacing w:before="0" w:after="0"/>
        <w:ind w:left="18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 xml:space="preserve"> min(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step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>_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num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−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0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5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, step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>_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num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 xml:space="preserve"> ·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 xml:space="preserve"> warmup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>_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  <w:vertAlign w:val="superscript"/>
        </w:rPr>
        <w:t>steps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−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1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  <w:vertAlign w:val="superscript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vertAlign w:val="superscript"/>
        </w:rPr>
        <w:t xml:space="preserve">)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(3)</w:t>
      </w:r>
    </w:p>
    <w:p>
      <w:pPr>
        <w:spacing w:before="194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This corresponds to increasing the learning rate linearly for the first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warmup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steps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training steps,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decreasing it thereafter proportionally to the inverse square root of the step number. We used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warmup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steps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4000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30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5.4 Regularization</w:t>
      </w:r>
    </w:p>
    <w:p>
      <w:pPr>
        <w:spacing w:before="186" w:after="0" w:lineRule="exact" w:line="2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We employ three types of regularization during training: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Table 2: The Transformer achieves better BLEU scores than previous state-of-the-art models on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English-to-German and English-to-French newstest2014 tests at a fraction of the training cost.</w:t>
      </w:r>
    </w:p>
    <w:p>
      <w:pPr>
        <w:spacing w:before="0" w:after="0" w:lineRule="exact" w:line="5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7685" w:type="dxa"/>
        <w:tblInd w:w="4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82"/>
        <w:gridCol w:w="716"/>
        <w:gridCol w:w="600"/>
        <w:gridCol w:w="784"/>
        <w:gridCol w:w="1011"/>
        <w:gridCol w:w="543"/>
        <w:gridCol w:w="949"/>
      </w:tblGrid>
      <w:tr>
        <w:tc>
          <w:tcPr>
            <w:tcW w:w="3082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1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BLEU</w:t>
            </w:r>
          </w:p>
        </w:tc>
        <w:tc>
          <w:tcPr>
            <w:tcW w:w="784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011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Training Cost (FLOPs)</w:t>
            </w:r>
          </w:p>
        </w:tc>
        <w:tc>
          <w:tcPr>
            <w:tcW w:w="949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16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7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EN-DE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EN-FR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31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EN-DE</w:t>
            </w:r>
          </w:p>
        </w:tc>
        <w:tc>
          <w:tcPr>
            <w:tcW w:w="543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12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EN-FR</w:t>
            </w:r>
          </w:p>
        </w:tc>
      </w:tr>
      <w:tr>
        <w:tc>
          <w:tcPr>
            <w:tcW w:w="3082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ByteNet [18]</w:t>
            </w:r>
          </w:p>
        </w:tc>
        <w:tc>
          <w:tcPr>
            <w:tcW w:w="716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15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23.75</w:t>
            </w:r>
          </w:p>
        </w:tc>
        <w:tc>
          <w:tcPr>
            <w:tcW w:w="6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01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Deep-Att + PosUnk [39]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39.2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GNMT + RL [38]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24.6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39.92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3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19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ConvS2S [9]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25.16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40.46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3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18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MoE [32]</w:t>
            </w:r>
          </w:p>
        </w:tc>
        <w:tc>
          <w:tcPr>
            <w:tcW w:w="716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15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26.03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2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40.56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23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19</w:t>
            </w:r>
          </w:p>
        </w:tc>
        <w:tc>
          <w:tcPr>
            <w:tcW w:w="543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</w:tr>
      <w:tr>
        <w:tc>
          <w:tcPr>
            <w:tcW w:w="3082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Deep-Att + PosUnk Ensemble [39]</w:t>
            </w:r>
          </w:p>
        </w:tc>
        <w:tc>
          <w:tcPr>
            <w:tcW w:w="716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6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7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40.4</w:t>
            </w:r>
          </w:p>
        </w:tc>
        <w:tc>
          <w:tcPr>
            <w:tcW w:w="101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GNMT + RL Ensemble [38]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26.30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41.16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3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21</w:t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ConvS2S Ensemble [9]</w:t>
            </w:r>
          </w:p>
        </w:tc>
        <w:tc>
          <w:tcPr>
            <w:tcW w:w="71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5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26.36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2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41.29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234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19</w:t>
            </w:r>
          </w:p>
        </w:tc>
        <w:tc>
          <w:tcPr>
            <w:tcW w:w="54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21</w:t>
            </w:r>
          </w:p>
        </w:tc>
      </w:tr>
      <w:tr>
        <w:tc>
          <w:tcPr>
            <w:tcW w:w="308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8" w:type="dxa"/>
              <w:left w:w="120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Transformer (base model)</w:t>
            </w:r>
          </w:p>
        </w:tc>
        <w:tc>
          <w:tcPr>
            <w:tcW w:w="716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8" w:type="dxa"/>
              <w:left w:w="20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27.3</w:t>
            </w:r>
          </w:p>
        </w:tc>
        <w:tc>
          <w:tcPr>
            <w:tcW w:w="6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8" w:type="dxa"/>
              <w:left w:w="76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38.1</w:t>
            </w: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8" w:type="dxa"/>
              <w:left w:w="12" w:type="dxa"/>
              <w:bottom w:w="30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4"/>
                <w:vertAlign w:val="superscript"/>
              </w:rPr>
              <w:t>18</w:t>
            </w:r>
          </w:p>
        </w:tc>
        <w:tc>
          <w:tcPr>
            <w:tcW w:w="94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  <w:tr>
        <w:tc>
          <w:tcPr>
            <w:tcW w:w="3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20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Transformer (big)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202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28.4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78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76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41.8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54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68" w:type="dxa"/>
              <w:bottom w:w="68" w:type="dxa"/>
              <w:right w:w="2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  <w:vertAlign w:val="superscript"/>
              </w:rPr>
              <w:t>19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</w:tbl>
    <w:p>
      <w:pPr>
        <w:spacing w:before="56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Residual Dropout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apply dropout [33] to the output of each sub-layer, before it is added to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sub-layer input and normalized. In addition, we apply dropout to the sums of the embeddings and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positional encodings in both the encoder and decoder stacks. For the base model, we use a rate of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drop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9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Label Smoothing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During training, we employed label smoothing of value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ϵ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ls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hurts perplexity, as the model learns to be more unsure, but improves accuracy and BLEU score.</w:t>
      </w:r>
    </w:p>
    <w:p>
      <w:pPr>
        <w:keepNext/>
        <w:spacing w:before="344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 Results</w:t>
      </w:r>
    </w:p>
    <w:p>
      <w:pPr>
        <w:spacing w:before="250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6.1 Machine Translation</w:t>
      </w:r>
    </w:p>
    <w:p>
      <w:pPr>
        <w:spacing w:before="19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On the WMT 2014 English-to-German translation task, the big transformer model (Transformer (big)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Table 2) outperforms the best previously reported models (including ensembles) by more than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BLEU, establishing a new state-of-the-art BLEU score of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28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The configuration of this model 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listed in the bottom line of Table 3. Training took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days 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P100 GPUs. Even our base model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surpasses all previously published models and ensembles, at a fraction of the training cost of any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competitive models.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On the WMT 2014 English-to-French translation task, our big model achieves a BLEU score of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41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outperforming all of the previously published single models, at less than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the training cost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previous state-of-the-art model. The Transformer (big) model trained for English-to-French used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dropout rate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drop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instead of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For the base models, we used a single model obtained by averaging the last 5 checkpoints, which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were written at 10-minute intervals. For the big models, we averaged the last 20 checkpoints. We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used beam search with a beam size of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 length penalty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α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]. These hyperparameters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were chosen after experimentation on the development set. We set the maximum output length during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inference to input length +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50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but terminate early when possible [38].</w:t>
      </w:r>
    </w:p>
    <w:p>
      <w:pPr>
        <w:spacing w:before="1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Table 2 summarizes our results and compares our translation quality and training costs to other model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architectures from the literature. We estimate the number of floating point operations used to train a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model by multiplying the training time, the number of GPUs used, and an estimate of the sustained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single-precision floating-point capacity of each GPU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302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6.2 Model Variations</w:t>
      </w:r>
    </w:p>
    <w:p>
      <w:pPr>
        <w:spacing w:before="20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 evaluate the importance of different components of the Transformer, we varied our base model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different ways, measuring the change in performance on English-to-German translation on the</w:t>
      </w:r>
    </w:p>
    <w:p>
      <w:pPr>
        <w:spacing w:before="204" w:after="0" w:lineRule="exact" w:line="40"/>
        <w:ind w:right="5056"/>
        <w:pBdr>
          <w:top w:val="nil"/>
          <w:left w:val="nil"/>
          <w:bottom w:val="single" w:sz="4" w:space="0" w:color="000000"/>
          <w:right w:val="nil"/>
        </w:pBdr>
      </w:pPr>
      <w:r>
        <w:rPr>
          <w:sz w:val="2"/>
        </w:rPr>
      </w:r>
    </w:p>
    <w:p>
      <w:pPr>
        <w:spacing w:before="24" w:after="0" w:lineRule="exact" w:line="138"/>
        <w:ind w:left="2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  <w:t>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We used values of 2.8, 3.7, 6.0 and 9.5 TFLOPS for K80, K40, M40 and P100, respectively.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Table 3: Variations on the Transformer architecture. Unlisted values are identical to those of the base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model. All metrics are on the English-to-German translation development set, newstest2013. Listed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perplexities are per-wordpiece, according to our byte-pair encoding, and should not be compared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per-word perplexities.</w:t>
      </w:r>
    </w:p>
    <w:p>
      <w:pPr>
        <w:spacing w:before="0" w:after="0" w:lineRule="exact" w:line="3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5143" w:type="dxa"/>
        <w:tblInd w:w="6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43"/>
      </w:tblGrid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2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ind w:left="43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train</w:t>
            </w:r>
          </w:p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N 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</w:rPr>
              <w:t xml:space="preserve">model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4"/>
              </w:rPr>
              <w:t xml:space="preserve">ff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h 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4"/>
              </w:rPr>
              <w:t xml:space="preserve">v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4"/>
              </w:rPr>
              <w:t xml:space="preserve">drop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4"/>
              </w:rPr>
              <w:t>ls</w:t>
            </w:r>
          </w:p>
          <w:p>
            <w:pPr>
              <w:spacing w:before="0" w:after="0" w:lineRule="exact" w:line="232"/>
              <w:ind w:left="4364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steps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6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6 512 2048 8 64 64 0.1 0.1 100K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6" w:type="dxa"/>
              <w:left w:w="1880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ind w:firstLine="5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1 512 512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4 128 128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16 32 32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32 16 16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6" w:type="dxa"/>
              <w:left w:w="2368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16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6" w:type="dxa"/>
              <w:left w:w="160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8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256 32 32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1024 128 128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1024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4096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6" w:type="dxa"/>
              <w:left w:w="3500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0.0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0.2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0.0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0.2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77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positional embedding instead of sinusoids</w:t>
            </w:r>
          </w:p>
        </w:tc>
      </w:tr>
      <w:tr>
        <w:tc>
          <w:tcPr>
            <w:tcW w:w="51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6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 1024 4096 16 0.3 300K</w:t>
            </w:r>
          </w:p>
        </w:tc>
      </w:tr>
    </w:tbl>
    <w:p>
      <w:pPr>
        <w:spacing w:before="0" w:after="0" w:lineRule="exact" w:line="232"/>
        <w:ind w:left="5942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PPL BLEU params</w:t>
      </w:r>
    </w:p>
    <w:p>
      <w:pPr>
        <w:spacing w:before="0" w:after="0" w:lineRule="exact" w:line="232"/>
        <w:ind w:left="5906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(dev) (dev)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14"/>
          <w:vertAlign w:val="superscript"/>
        </w:rPr>
        <w:t>6</w:t>
      </w:r>
    </w:p>
    <w:p>
      <w:pPr>
        <w:spacing w:before="22" w:after="0" w:lineRule="exact" w:line="232"/>
        <w:ind w:left="17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base</w:t>
      </w:r>
    </w:p>
    <w:p>
      <w:pPr>
        <w:spacing w:before="0" w:after="0" w:lineRule="exact" w:line="252"/>
        <w:ind w:left="59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4.92 25.8 65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5.29 24.9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5.00 25.5</w:t>
      </w:r>
    </w:p>
    <w:p>
      <w:pPr>
        <w:spacing w:before="0" w:after="0" w:lineRule="exact" w:line="232"/>
        <w:ind w:left="21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(A)</w:t>
      </w:r>
    </w:p>
    <w:p>
      <w:pPr>
        <w:spacing w:before="0" w:after="0" w:lineRule="exact" w:line="218"/>
        <w:ind w:left="59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4.91 25.8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5.01 25.4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5.16 25.1 58</w:t>
      </w:r>
    </w:p>
    <w:p>
      <w:pPr>
        <w:spacing w:before="0" w:after="0" w:lineRule="exact" w:line="232"/>
        <w:ind w:left="21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(B)</w:t>
      </w:r>
    </w:p>
    <w:p>
      <w:pPr>
        <w:spacing w:before="0" w:after="0" w:lineRule="exact" w:line="252"/>
        <w:ind w:left="59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5.01 25.4 60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6.11 23.7 36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5.19 25.3 50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4.88 25.5 80</w:t>
      </w:r>
    </w:p>
    <w:p>
      <w:pPr>
        <w:spacing w:before="0" w:after="0" w:lineRule="exact" w:line="232"/>
        <w:ind w:left="21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(C)</w:t>
      </w:r>
    </w:p>
    <w:p>
      <w:pPr>
        <w:spacing w:before="0" w:after="0" w:lineRule="exact" w:line="218"/>
        <w:ind w:left="59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5.75 24.5 28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4.66 26.0 168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5.12 25.4 53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4.75 26.2 90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5.77 24.6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4.95 25.5</w:t>
      </w:r>
    </w:p>
    <w:p>
      <w:pPr>
        <w:spacing w:before="0" w:after="0" w:lineRule="exact" w:line="232"/>
        <w:ind w:left="21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(D)</w:t>
      </w:r>
    </w:p>
    <w:p>
      <w:pPr>
        <w:spacing w:before="0" w:after="0" w:lineRule="exact" w:line="232"/>
        <w:ind w:left="59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4.67 25.3</w:t>
      </w:r>
    </w:p>
    <w:p>
      <w:pPr>
        <w:spacing w:before="0" w:after="0" w:lineRule="exact" w:line="252"/>
        <w:ind w:left="220" w:firstLine="572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5.47 25.7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(E)</w:t>
      </w:r>
    </w:p>
    <w:p>
      <w:pPr>
        <w:spacing w:before="0" w:after="0" w:lineRule="exact" w:line="252"/>
        <w:ind w:left="220" w:firstLine="572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4.92 25.7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big</w:t>
      </w:r>
    </w:p>
    <w:p>
      <w:pPr>
        <w:spacing w:before="0" w:after="0" w:lineRule="exact" w:line="232"/>
        <w:ind w:left="59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4.33 26.4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213</w:t>
      </w:r>
    </w:p>
    <w:p>
      <w:pPr>
        <w:spacing w:before="594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development set, newstest2013. We used beam search as described in the previous section, but no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checkpoint averaging. We present these results in Table 3.</w:t>
      </w:r>
    </w:p>
    <w:p>
      <w:pPr>
        <w:spacing w:before="108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Table 3 rows (A), we vary the number of attention heads and the attention key and value dimensions,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keeping the amount of computation constant, as described in Section 3.2.2. While single-head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attention is 0.9 BLEU worse than the best setting, quality also drops off with too many heads.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Table 3 rows (B), we observe that reducing the attention key size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hurts model quality. This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suggests that determining compatibility is not easy and that a more sophisticated compatibility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function than dot product may be beneficial. We further observe in rows (C) and (D) that, as expected,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bigger models are better, and dropout is very helpful in avoiding over-fitting. In row (E) we replace our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sinusoidal positional encoding with learned positional embeddings [9], and observe nearly identical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results to the base model.</w:t>
      </w:r>
    </w:p>
    <w:p>
      <w:pPr>
        <w:spacing w:before="30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6.3 English Constituency Parsing</w:t>
      </w:r>
    </w:p>
    <w:p>
      <w:pPr>
        <w:spacing w:before="20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 evaluate if the Transformer can generalize to other tasks we performed experiments on English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constituency parsing. This task presents specific challenges: the output is subject to strong structural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constraints and is significantly longer than the input. Furthermore, RNN sequence-to-sequence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models have not been able to attain state-of-the-art results in small-data regimes [37].</w:t>
      </w:r>
    </w:p>
    <w:p>
      <w:pPr>
        <w:spacing w:before="108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We trained a 4-layer transformer with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d</w:t>
      </w:r>
      <w:r>
        <w:rPr>
          <w:rFonts w:ascii="Times New Roman" w:hAnsi="Times New Roman" w:cs="Times New Roman" w:eastAsia="Times New Roman"/>
          <w:b w:val="0"/>
          <w:i/>
          <w:color w:val="000000"/>
          <w:sz w:val="14"/>
        </w:rPr>
        <w:t>model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1024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on the Wall Street Journal (WSJ) portion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Penn Treebank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], about 40K training sentences. We also trained it in a semi-supervised setting,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using the larger high-confidence and BerkleyParser corpora from with approximately 17M sentences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[37]. We used a vocabulary of 16K tokens for the WSJ only setting and a vocabulary of 32K tokens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for the semi-supervised setting.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performed only a small number of experiments to select the dropout, both attention and residual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(section 5.4), learning rates and beam size on the Section 22 development set, all other parameters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remained unchanged from the English-to-German base translation model. During inference, we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Table 4: The Transformer generalizes well to English constituency parsing (Results are on Section 23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of WSJ)</w:t>
      </w:r>
    </w:p>
    <w:p>
      <w:pPr>
        <w:spacing w:before="0" w:after="0" w:lineRule="exact" w:line="44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2238" w:type="dxa"/>
        <w:tblInd w:w="3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38"/>
      </w:tblGrid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75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Training</w:t>
            </w:r>
          </w:p>
        </w:tc>
      </w:tr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20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WSJ only, discriminative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WSJ only, discriminative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WSJ only, discriminative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WSJ only, discriminative</w:t>
            </w:r>
          </w:p>
        </w:tc>
      </w:tr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20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WSJ only, discriminative</w:t>
            </w:r>
          </w:p>
        </w:tc>
      </w:tr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72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semi-supervised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semi-supervised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semi-supervised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semi-supervised</w:t>
            </w:r>
          </w:p>
        </w:tc>
      </w:tr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72" w:type="dxa"/>
              <w:bottom w:w="40" w:type="dxa"/>
              <w:right w:w="40" w:type="dxa"/>
            </w:tcMar>
          </w:tcPr>
          <w:p>
            <w:pPr>
              <w:spacing w:before="0" w:after="0" w:lineRule="exact" w:line="232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semi-supervised</w:t>
            </w:r>
          </w:p>
        </w:tc>
      </w:tr>
      <w:tr>
        <w:tc>
          <w:tcPr>
            <w:tcW w:w="2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708" w:type="dxa"/>
              <w:bottom w:w="40" w:type="dxa"/>
              <w:right w:w="40" w:type="dxa"/>
            </w:tcMar>
          </w:tcPr>
          <w:p>
            <w:pPr>
              <w:spacing w:before="0" w:after="0" w:lineRule="exact" w:line="21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 xml:space="preserve">multi-task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generative</w:t>
            </w:r>
          </w:p>
        </w:tc>
      </w:tr>
    </w:tbl>
    <w:p>
      <w:pPr>
        <w:spacing w:before="0" w:after="0" w:lineRule="exact" w:line="226"/>
        <w:ind w:left="862" w:firstLine="5268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WSJ 23 F1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Vinyals &amp; Kaiser el al. (2014) [37]</w:t>
      </w:r>
    </w:p>
    <w:p>
      <w:pPr>
        <w:spacing w:before="0" w:after="0" w:lineRule="exact" w:line="232"/>
        <w:ind w:left="1976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Parser</w:t>
      </w:r>
    </w:p>
    <w:p>
      <w:pPr>
        <w:spacing w:before="8" w:after="0" w:lineRule="exact" w:line="218"/>
        <w:ind w:left="1292" w:firstLine="512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88.3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Petrov et al. (2006) [29]</w:t>
      </w:r>
    </w:p>
    <w:p>
      <w:pPr>
        <w:spacing w:before="0" w:after="0" w:lineRule="exact" w:line="218"/>
        <w:ind w:left="1390" w:firstLine="503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90.4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Zhu et al. (2013) [40]</w:t>
      </w:r>
    </w:p>
    <w:p>
      <w:pPr>
        <w:spacing w:before="0" w:after="0" w:lineRule="exact" w:line="218"/>
        <w:ind w:left="1402" w:firstLine="502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90.4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Dyer et al. (2016) [8]</w:t>
      </w:r>
    </w:p>
    <w:p>
      <w:pPr>
        <w:spacing w:before="0" w:after="0" w:lineRule="exact" w:line="218"/>
        <w:ind w:left="1360" w:firstLine="506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91.7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Transformer (4 layers)</w:t>
      </w:r>
    </w:p>
    <w:p>
      <w:pPr>
        <w:spacing w:before="0" w:after="0" w:lineRule="exact" w:line="218"/>
        <w:ind w:left="1390" w:firstLine="503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91.3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Zhu et al. (2013) [40]</w:t>
      </w:r>
    </w:p>
    <w:p>
      <w:pPr>
        <w:spacing w:before="0" w:after="0" w:lineRule="exact" w:line="218"/>
        <w:ind w:left="1106" w:firstLine="531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91.3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Huang &amp; Harper (2009) [14]</w:t>
      </w:r>
    </w:p>
    <w:p>
      <w:pPr>
        <w:spacing w:before="0" w:after="0" w:lineRule="exact" w:line="218"/>
        <w:ind w:left="1138" w:firstLine="528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91.3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McClosky et al. (2006) [26]</w:t>
      </w:r>
    </w:p>
    <w:p>
      <w:pPr>
        <w:spacing w:before="0" w:after="0" w:lineRule="exact" w:line="218"/>
        <w:ind w:left="862" w:firstLine="556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92.1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Vinyals &amp; Kaiser el al. (2014) [37]</w:t>
      </w:r>
    </w:p>
    <w:p>
      <w:pPr>
        <w:spacing w:before="0" w:after="0" w:lineRule="exact" w:line="218"/>
        <w:ind w:left="1360" w:firstLine="506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92.1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Transformer (4 layers)</w:t>
      </w:r>
    </w:p>
    <w:p>
      <w:pPr>
        <w:spacing w:before="0" w:after="0" w:lineRule="exact" w:line="218"/>
        <w:ind w:left="1292" w:firstLine="513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92.7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Luong et al. (2015) [23]</w:t>
      </w:r>
    </w:p>
    <w:p>
      <w:pPr>
        <w:spacing w:before="0" w:after="0" w:lineRule="exact" w:line="218"/>
        <w:ind w:left="1402" w:firstLine="502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93.0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Dyer et al. (2016) [8]</w:t>
      </w:r>
    </w:p>
    <w:p>
      <w:pPr>
        <w:spacing w:before="0" w:after="0" w:lineRule="exact" w:line="232"/>
        <w:ind w:left="642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93.3</w:t>
      </w:r>
    </w:p>
    <w:p>
      <w:pPr>
        <w:spacing w:before="512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increased the maximum output length to input length +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300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 We used a beam size of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α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= 0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for both WSJ only and the semi-supervised setting.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Our results in Table 4 show that despite the lack of task-specific tuning our model performs sur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prisingly well, yielding better results than all previously reported models with the exception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Recurrent Neural Network Grammar [8].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 contrast to RNN sequence-to-sequence models [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37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], the Transformer outperforms the Berkeley-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Parser [29] even when training only on the WSJ training set of 40K sentences.</w:t>
      </w:r>
    </w:p>
    <w:p>
      <w:pPr>
        <w:keepNext/>
        <w:spacing w:before="29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7 Conclusion</w:t>
      </w:r>
    </w:p>
    <w:p>
      <w:pPr>
        <w:spacing w:before="226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this work, we presented the Transformer, the first sequence transduction model based entirely 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attention, replacing the recurrent layers most commonly used in encoder-decoder architectures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multi-headed self-attention.</w:t>
      </w:r>
    </w:p>
    <w:p>
      <w:pPr>
        <w:spacing w:before="11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For translation tasks, the Transformer can be trained significantly faster than architectures based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on recurrent or convolutional layers. On both WMT 2014 English-to-German and WMT 2014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English-to-French translation tasks, we achieve a new state of the art. In the former task our best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model outperforms even all previously reported ensembles.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are excited about the future of attention-based models and plan to apply them to other tasks. We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plan to extend the Transformer to problems involving input and output modalities other than text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 investigate local, restricted attention mechanisms to efficiently handle large inputs and outputs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such as images, audio and video. Making generation less sequential is another research goals of ours.</w:t>
      </w:r>
    </w:p>
    <w:p>
      <w:pPr>
        <w:spacing w:before="110" w:after="0" w:lineRule="exact" w:line="21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code we used to train and evaluate our models is available at</w:t>
      </w: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  <w:hyperlink r:id="rId16">
        <w:r>
          <w:rPr>
            <w:rFonts w:ascii="Courier New" w:hAnsi="Courier New" w:cs="Courier New" w:eastAsia="Courier New"/>
            <w:b w:val="0"/>
            <w:i w:val="0"/>
            <w:color w:val="000000"/>
            <w:sz w:val="20"/>
          </w:rPr>
          <w:t xml:space="preserve">https://github.com/ </w:t>
        </w:r>
        <w:r>
          <w:rPr>
            <w:rFonts w:ascii="Courier New" w:hAnsi="Courier New" w:cs="Courier New" w:eastAsia="Courier New"/>
            <w:b w:val="0"/>
            <w:i w:val="0"/>
            <w:color w:val="000000"/>
            <w:sz w:val="20"/>
          </w:rPr>
          <w:t xml:space="preserve">tensorflow/tensor2tensor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36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Acknowledgements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We are grateful to Nal Kalchbrenner and Stephan Gouws for their fruitful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comments, corrections and inspiration.</w:t>
      </w:r>
    </w:p>
    <w:p>
      <w:pPr>
        <w:keepNext/>
        <w:spacing w:before="29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References</w:t>
      </w:r>
    </w:p>
    <w:p>
      <w:pPr>
        <w:spacing w:before="104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Jimmy Lei Ba, Jamie Ryan Kiros, and Geoffrey E Hinton. Layer normalization.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 preprint</w:t>
      </w:r>
    </w:p>
    <w:p>
      <w:pPr>
        <w:spacing w:before="0" w:after="0" w:lineRule="exact" w:line="232"/>
        <w:ind w:left="432"/>
        <w:jc w:val="left"/>
      </w:pPr>
      <w:hyperlink r:id="rId17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arXiv:1607.06450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26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Dzmitry Bahdanau, Kyunghyun Cho, and Yoshua Bengio. Neural machine translation by jointly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learning to align and translate.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abs/1409.0473, 2014.</w:t>
      </w:r>
    </w:p>
    <w:p>
      <w:pPr>
        <w:spacing w:before="126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Denny Britz, Anna Goldie, Minh-Thang Luong, and Quoc V. Le. Massive exploration of neural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machine translation architectures.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abs/1703.03906, 2017.</w:t>
      </w:r>
    </w:p>
    <w:p>
      <w:pPr>
        <w:spacing w:before="126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[4]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Jianpeng Cheng, Li Dong, and Mirella Lapata. Long short-term memory-networks for machine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reading.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18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arXiv:1601.06733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0" w:after="0" w:lineRule="exact" w:line="20"/>
      </w:pPr>
      <w:r>
        <w:br w:type="page"/>
      </w:r>
    </w:p>
    <w:p>
      <w:pPr>
        <w:spacing w:before="26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[5]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Kyunghyun Cho, Bart van Merrienboer, Caglar Gulcehre, Fethi Bougares, Holger Schwenk,</w:t>
      </w:r>
    </w:p>
    <w:p>
      <w:pPr>
        <w:spacing w:before="0" w:after="0" w:lineRule="exact" w:line="218"/>
        <w:ind w:left="43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Yoshua Bengio. Learning phrase representations using rnn encoder-decoder for statistical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machine translation.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abs/1406.1078, 2014.</w:t>
      </w:r>
    </w:p>
    <w:p>
      <w:pPr>
        <w:spacing w:before="164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[6]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Francois Chollet. Xception: Deep learning with depthwise separable convolutions.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</w:t>
      </w:r>
    </w:p>
    <w:p>
      <w:pPr>
        <w:spacing w:before="0" w:after="0" w:lineRule="exact" w:line="232"/>
        <w:ind w:left="432"/>
        <w:jc w:val="left"/>
      </w:pPr>
      <w:hyperlink r:id="rId19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preprint arXiv:1610.02357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64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[7]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Junyoung Chung, Çaglar Gülçehre, Kyunghyun Cho, and Yoshua Bengio. Empirical evaluation</w:t>
      </w:r>
    </w:p>
    <w:p>
      <w:pPr>
        <w:spacing w:before="0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of gated recurrent neural networks on sequence modeling.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abs/1412.3555, 2014.</w:t>
      </w:r>
    </w:p>
    <w:p>
      <w:pPr>
        <w:spacing w:before="164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[8]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Chris Dyer, Adhiguna Kuncoro, Miguel Ballesteros, and Noah A. Smith. Recurrent neural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network grammars.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Proc. of NAACL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64" w:after="0" w:lineRule="exact" w:line="232"/>
        <w:ind w:left="10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[9]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Jonas Gehring, Michael Auli, David Grangier, Denis Yarats, and Yann N. Dauphin. Convolu-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tional sequence to sequence learning.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20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arXiv:1705.03122v2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178" w:after="0" w:lineRule="exact" w:line="218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[10]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Alex Graves. Generating sequences with recurrent neural networks.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arXiv preprint </w:t>
      </w:r>
      <w:hyperlink r:id="rId21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arXiv:1308.0850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2013.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[11]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Kaiming He, Xiangyu Zhang, Shaoqing Ren, and Jian Sun. Deep residual learning for im-</w:t>
      </w:r>
    </w:p>
    <w:p>
      <w:pPr>
        <w:spacing w:before="0" w:after="0" w:lineRule="exact" w:line="218"/>
        <w:ind w:left="426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age recognition.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Proceedings of the IEEE Conference on Computer Vision and Pattern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Recognition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pages 770–778, 2016.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[12]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Sepp Hochreiter, Yoshua Bengio, Paolo Frasconi, and Jürgen Schmidhuber. Gradient flow in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recurrent nets: the difficulty of learning long-term dependencies, 2001.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[13]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Sepp Hochreiter and Jürgen Schmidhuber. Long short-term memory.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Neural computation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9(8):1735–1780, 1997.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[14]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Zhongqiang Huang and Mary Harper. Self-training PCFG grammars with latent annotations</w:t>
      </w:r>
    </w:p>
    <w:p>
      <w:pPr>
        <w:spacing w:before="0" w:after="0" w:lineRule="exact" w:line="218"/>
        <w:ind w:left="42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across languages.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Proceedings of the 2009 Conference on Empirical Methods in Natural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Language Processing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pages 832–841. ACL, August 2009.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[15]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Rafal Jozefowicz, Oriol Vinyals, Mike Schuster, Noam Shazeer, and Yonghui Wu. Exploring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limits of language modeling.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22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arXiv:1602.02410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[16]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Łukasz Kaiser and Samy Bengio. Can active memory replace attention?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Advances in Neural</w:t>
      </w:r>
    </w:p>
    <w:p>
      <w:pPr>
        <w:spacing w:before="0" w:after="0" w:lineRule="exact" w:line="232"/>
        <w:ind w:left="43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Information Processing Systems, (NIPS)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[17] Łukasz Kaiser and Ilya Sutskever. Neural GPUs learn algorithms.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International Conference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on Learning Representations (ICLR)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[18]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Nal Kalchbrenner, Lasse Espeholt, Karen Simonyan, Aaron van den Oord, Alex Graves, and Ko-</w:t>
      </w:r>
    </w:p>
    <w:p>
      <w:pPr>
        <w:spacing w:before="0" w:after="0" w:lineRule="exact" w:line="218"/>
        <w:ind w:left="43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ray Kavukcuoglu. Neural machine translation in linear time.</w:t>
      </w:r>
      <w:hyperlink r:id="rId23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 arXiv preprint arXiv:1610.10099v2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2017.</w:t>
      </w:r>
    </w:p>
    <w:p>
      <w:pPr>
        <w:spacing w:before="166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[19]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Yoon Kim, Carl Denton, Luong Hoang, and Alexander M. Rush. Structured attention networks.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International Conference on Learning Representations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[20]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Diederik Kingma and Jimmy Ba. Adam: A method for stochastic optimization.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ICLR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2015.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[21] Oleksii Kuchaiev and Boris Ginsburg. Factorization tricks for LSTM networks.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 preprint</w:t>
      </w:r>
    </w:p>
    <w:p>
      <w:pPr>
        <w:spacing w:before="0" w:after="0" w:lineRule="exact" w:line="232"/>
        <w:ind w:left="432"/>
        <w:jc w:val="left"/>
      </w:pPr>
      <w:hyperlink r:id="rId24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arXiv:1703.10722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[22]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Zhouhan Lin, Minwei Feng, Cicero Nogueira dos Santos, Mo Yu, Bing Xiang, Bowen</w:t>
      </w:r>
    </w:p>
    <w:p>
      <w:pPr>
        <w:spacing w:before="0" w:after="0" w:lineRule="exact" w:line="218"/>
        <w:ind w:left="43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Zhou, and Yoshua Bengio. A structured self-attentive sentence embedding.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 preprint </w:t>
      </w:r>
      <w:hyperlink r:id="rId25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arXiv:1703.03130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[23] Minh-Thang Luong, Quoc V. Le, Ilya Sutskever, Oriol Vinyals, and Lukasz Kaiser. Multi-task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sequence to sequence learning.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26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arXiv:1511.06114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2015.</w:t>
      </w:r>
    </w:p>
    <w:p>
      <w:pPr>
        <w:spacing w:before="164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[24]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Minh-Thang Luong, Hieu Pham, and Christopher D Manning. Effective approaches to attention-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based neural machine translation.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27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arXiv:1508.04025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2015.</w:t>
      </w:r>
    </w:p>
    <w:p>
      <w:pPr>
        <w:spacing w:before="0" w:after="0" w:lineRule="exact" w:line="20"/>
      </w:pPr>
      <w:r>
        <w:br w:type="page"/>
      </w:r>
    </w:p>
    <w:p>
      <w:pPr>
        <w:spacing w:before="26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[25]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Mitchell P Marcus, Mary Ann Marcinkiewicz, and Beatrice Santorini. Building a large annotated</w:t>
      </w:r>
    </w:p>
    <w:p>
      <w:pPr>
        <w:spacing w:before="0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corpus of english: The penn treebank.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Computational linguistics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19(2):313–330, 1993.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[26] David McClosky, Eugene Charniak, and Mark Johnson. Effective self-training for parsing. In</w:t>
      </w:r>
    </w:p>
    <w:p>
      <w:pPr>
        <w:spacing w:before="0" w:after="0" w:lineRule="exact" w:line="218"/>
        <w:ind w:left="426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Proceedings of the Human Language Technology Conference of the NAACL, Main Conference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pages 152–159. ACL, June 2006.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[27]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Ankur Parikh, Oscar Täckström, Dipanjan Das, and Jakob Uszkoreit. A decomposable attention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model.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Empirical Methods in Natural Language Processing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[28] Romain Paulus, Caiming Xiong, and Richard Socher. A deep reinforced model for abstractive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summarization.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28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arXiv:1705.04304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[29]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Slav Petrov, Leon Barrett, Romain Thibaux, and Dan Klein. Learning accurate, compact,</w:t>
      </w:r>
    </w:p>
    <w:p>
      <w:pPr>
        <w:spacing w:before="0" w:after="0" w:lineRule="exact" w:line="218"/>
        <w:ind w:left="426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and interpretable tree annotation.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Proceedings of the 21st International Conference on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Computational Linguistics and 44th Annual Meeting of the ACL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pages 433–440. ACL, July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2006.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[30]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Ofir Press and Lior Wolf. Using the output embedding to improve language models.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</w:t>
      </w:r>
    </w:p>
    <w:p>
      <w:pPr>
        <w:spacing w:before="0" w:after="0" w:lineRule="exact" w:line="232"/>
        <w:ind w:left="432"/>
        <w:jc w:val="left"/>
      </w:pPr>
      <w:hyperlink r:id="rId29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preprint arXiv:1608.05859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[31] Rico Sennrich, Barry Haddow, and Alexandra Birch. Neural machine translation of rare words</w:t>
      </w:r>
    </w:p>
    <w:p>
      <w:pPr>
        <w:spacing w:before="0" w:after="0" w:lineRule="exact" w:line="232"/>
        <w:ind w:left="426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with subword units.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30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arXiv:1508.07909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2015.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[32]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Noam Shazeer, Azalia Mirhoseini, Krzysztof Maziarz, Andy Davis, Quoc Le, Geoffrey Hinton,</w:t>
      </w:r>
    </w:p>
    <w:p>
      <w:pPr>
        <w:spacing w:before="0" w:after="0" w:lineRule="exact" w:line="218"/>
        <w:ind w:left="43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and Jeff Dean. Outrageously large neural networks: The sparsely-gated mixture-of-experts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layer.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</w:t>
      </w:r>
      <w:hyperlink r:id="rId31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 preprint arXiv:1701.06538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2017.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[33] Nitish Srivastava, Geoffrey E Hinton, Alex Krizhevsky, Ilya Sutskever, and Ruslan Salakhutdi-</w:t>
      </w:r>
    </w:p>
    <w:p>
      <w:pPr>
        <w:spacing w:before="0" w:after="0" w:lineRule="exact" w:line="218"/>
        <w:ind w:left="428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nov. Dropout: a simple way to prevent neural networks from overfitting.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Journal of Machine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Learning Research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15(1):1929–1958, 2014.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[34]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Sainbayar Sukhbaatar, Arthur Szlam, Jason Weston, and Rob Fergus. End-to-end memory</w:t>
      </w:r>
    </w:p>
    <w:p>
      <w:pPr>
        <w:spacing w:before="0" w:after="0" w:lineRule="exact" w:line="218"/>
        <w:ind w:left="4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networks. In C. Cortes, N. D. Lawrence, D. D. Lee, M. Sugiyama, and R. Garnett, editors,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Advances in Neural Information Processing Systems 28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pages 2440–2448. Curran Associates,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Inc., 2015.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[35]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Ilya Sutskever, Oriol Vinyals, and Quoc VV Le. Sequence to sequence learning with neural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networks.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Advances in Neural Information Processing Systems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pages 3104–3112, 2014.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[36]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Christian Szegedy, Vincent Vanhoucke, Sergey Ioffe, Jonathon Shlens, and Zbigniew Wojna.</w:t>
      </w:r>
    </w:p>
    <w:p>
      <w:pPr>
        <w:spacing w:before="0" w:after="0" w:lineRule="exact" w:line="232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Rethinking the inception architecture for computer vision.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abs/1512.00567, 2015.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[37]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Vinyals &amp; Kaiser, Koo, Petrov, Sutskever, and Hinton. Grammar as a foreign language. In</w:t>
      </w:r>
    </w:p>
    <w:p>
      <w:pPr>
        <w:spacing w:before="0" w:after="0" w:lineRule="exact" w:line="232"/>
        <w:ind w:left="42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Advances in Neural Information Processing Systems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2015.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[38]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Yonghui Wu, Mike Schuster, Zhifeng Chen, Quoc V Le, Mohammad Norouzi, Wolfgang</w:t>
      </w:r>
    </w:p>
    <w:p>
      <w:pPr>
        <w:spacing w:before="0" w:after="0" w:lineRule="exact" w:line="218"/>
        <w:ind w:left="43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Macherey, Maxim Krikun, Yuan Cao, Qin Gao, Klaus Macherey, et al. Google’s neural machine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translation system: Bridging the gap between human and machine translation.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arXiv preprint </w:t>
      </w:r>
      <w:hyperlink r:id="rId32">
        <w:r>
          <w:rPr>
            <w:rFonts w:ascii="Times New Roman" w:hAnsi="Times New Roman" w:cs="Times New Roman" w:eastAsia="Times New Roman"/>
            <w:b w:val="0"/>
            <w:i/>
            <w:color w:val="000000"/>
            <w:sz w:val="20"/>
          </w:rPr>
          <w:t xml:space="preserve">arXiv:1609.08144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2016.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[39]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Jie Zhou, Ying Cao, Xuguang Wang, Peng Li, and Wei Xu. Deep recurrent models with</w:t>
      </w:r>
    </w:p>
    <w:p>
      <w:pPr>
        <w:spacing w:before="0" w:after="0" w:lineRule="exact" w:line="232"/>
        <w:ind w:left="43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fast-forward connections for neural machine translation.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CoRR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abs/1606.04199, 2016.</w:t>
      </w:r>
    </w:p>
    <w:p>
      <w:pPr>
        <w:spacing w:before="238" w:after="0" w:lineRule="exact" w:line="232"/>
        <w:ind w:left="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[40]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Muhua Zhu, Yue Zhang, Wenliang Chen, Min Zhang, and Jingbo Zhu. Fast and accurate</w:t>
      </w:r>
    </w:p>
    <w:p>
      <w:pPr>
        <w:spacing w:before="0" w:after="0" w:lineRule="exact" w:line="228"/>
        <w:ind w:left="432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shift-reduce constituent parsing. In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Proceedings of the 51st Annual Meeting of the ACL (Volume</w:t>
      </w:r>
    </w:p>
    <w:p>
      <w:pPr>
        <w:tabs>
          <w:tab w:pos="646" w:val="left"/>
        </w:tabs>
        <w:spacing w:before="0" w:after="0" w:lineRule="exact" w:line="232"/>
        <w:ind w:left="646" w:hanging="228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1: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Long Papers)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pages 434–443. ACL, August 2013.</w:t>
      </w:r>
    </w:p>
    <w:p>
      <w:pPr>
        <w:spacing w:before="0" w:after="0" w:lineRule="exact" w:line="20"/>
      </w:pPr>
      <w:r>
        <w:br w:type="page"/>
      </w:r>
    </w:p>
    <w:p>
      <w:pPr>
        <w:keepNext/>
        <w:spacing w:before="0" w:after="0" w:lineRule="exact" w:line="278"/>
        <w:ind w:left="2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Attention Visualizations</w:t>
      </w:r>
    </w:p>
    <w:p>
      <w:pPr>
        <w:spacing w:before="266" w:after="0" w:lineRule="atLeast" w:line="4126"/>
        <w:jc w:val="center"/>
      </w:pPr>
      <w:r>
        <w:drawing>
          <wp:inline xmlns:a="http://schemas.openxmlformats.org/drawingml/2006/main" xmlns:pic="http://schemas.openxmlformats.org/drawingml/2006/picture">
            <wp:extent cx="4940977" cy="2619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0977" cy="261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2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Figure 3: An example of the attention mechanism following long-distance dependencies in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encoder self-attention in layer 5 of 6. Many of the attention heads attend to a distant dependency of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verb ‘making’, completing the phrase ‘making...more difficult’. Attentions here shown only for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word ‘making’. Different colors represent different heads. Best viewed in color.</w:t>
      </w:r>
    </w:p>
    <w:p>
      <w:pPr>
        <w:spacing w:before="0" w:after="0" w:lineRule="exact" w:line="20"/>
      </w:pPr>
      <w:r>
        <w:br w:type="page"/>
      </w:r>
    </w:p>
    <w:p>
      <w:pPr>
        <w:spacing w:before="1386" w:after="0" w:lineRule="atLeast" w:line="10062"/>
        <w:jc w:val="center"/>
      </w:pPr>
      <w:r>
        <w:drawing>
          <wp:inline xmlns:a="http://schemas.openxmlformats.org/drawingml/2006/main" xmlns:pic="http://schemas.openxmlformats.org/drawingml/2006/picture">
            <wp:extent cx="4899212" cy="6389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9212" cy="638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Figure 4: Two attention heads, also in layer 5 of 6, apparently involved in anaphora resolution. Top: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Full attentions for head 5. Bottom: Isolated attentions from just the word ‘its’ for attention heads 5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and 6. Note that the attentions are very sharp for this word.</w:t>
      </w:r>
    </w:p>
    <w:p>
      <w:pPr>
        <w:spacing w:before="0" w:after="0" w:lineRule="exact" w:line="20"/>
      </w:pPr>
      <w:r>
        <w:br w:type="page"/>
      </w:r>
    </w:p>
    <w:p>
      <w:pPr>
        <w:spacing w:before="1674" w:after="0" w:lineRule="atLeast" w:line="9306"/>
        <w:jc w:val="center"/>
      </w:pPr>
      <w:r>
        <w:drawing>
          <wp:inline xmlns:a="http://schemas.openxmlformats.org/drawingml/2006/main" xmlns:pic="http://schemas.openxmlformats.org/drawingml/2006/picture">
            <wp:extent cx="4858582" cy="5909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582" cy="590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18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Figure 5: Many of the attention heads exhibit behaviour that seems related to the structure of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sentence. We give two such examples above, from two different heads from the encoder self-attention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at layer 5 of 6. The heads clearly learned to perform different tasks.</w:t>
      </w:r>
    </w:p>
    <w:sectPr w:rsidR="00FC693F" w:rsidRPr="0006063C" w:rsidSect="00034616">
      <w:footerReference w:type="default" r:id="rId9"/>
      <w:headerReference w:type="first" r:id="rId10"/>
      <w:footerReference w:type="first" r:id="rId11"/>
      <w:pgSz w:w="12240" w:h="15840"/>
      <w:pgMar w:top="1424" w:right="2154" w:bottom="680" w:left="2159" w:header="720" w:footer="794" w:gutter="0"/>
      <w:cols w:num="1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32"/>
      <w:jc w:val="center"/>
    </w:pPr>
    <w:fldSimple w:instr=" PAGE ">
      <w:r>
        <w:rPr>
          <w:rFonts w:ascii="Arial" w:hAnsi="Arial" w:cs="Arial" w:eastAsia="Arial"/>
          <w:b w:val="0"/>
          <w:i w:val="0"/>
          <w:color w:val="000000"/>
          <w:sz w:val="20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32"/>
      <w:jc w:val="center"/>
    </w:pPr>
    <w:fldSimple w:instr=" PAGE ">
      <w:r>
        <w:rPr>
          <w:rFonts w:ascii="Arial" w:hAnsi="Arial" w:cs="Arial" w:eastAsia="Arial"/>
          <w:b w:val="0"/>
          <w:i w:val="0"/>
          <w:color w:val="000000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4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github.com/tensorflow/tensor2tensor" TargetMode="External"/><Relationship Id="rId17" Type="http://schemas.openxmlformats.org/officeDocument/2006/relationships/hyperlink" Target="http://arxiv.org/abs/1607.06450" TargetMode="External"/><Relationship Id="rId18" Type="http://schemas.openxmlformats.org/officeDocument/2006/relationships/hyperlink" Target="http://arxiv.org/abs/1601.06733" TargetMode="External"/><Relationship Id="rId19" Type="http://schemas.openxmlformats.org/officeDocument/2006/relationships/hyperlink" Target="http://arxiv.org/abs/1610.02357" TargetMode="External"/><Relationship Id="rId20" Type="http://schemas.openxmlformats.org/officeDocument/2006/relationships/hyperlink" Target="http://arxiv.org/abs/1705.03122" TargetMode="External"/><Relationship Id="rId21" Type="http://schemas.openxmlformats.org/officeDocument/2006/relationships/hyperlink" Target="http://arxiv.org/abs/1308.0850" TargetMode="External"/><Relationship Id="rId22" Type="http://schemas.openxmlformats.org/officeDocument/2006/relationships/hyperlink" Target="http://arxiv.org/abs/1602.02410" TargetMode="External"/><Relationship Id="rId23" Type="http://schemas.openxmlformats.org/officeDocument/2006/relationships/hyperlink" Target="http://arxiv.org/abs/1610.10099" TargetMode="External"/><Relationship Id="rId24" Type="http://schemas.openxmlformats.org/officeDocument/2006/relationships/hyperlink" Target="http://arxiv.org/abs/1703.10722" TargetMode="External"/><Relationship Id="rId25" Type="http://schemas.openxmlformats.org/officeDocument/2006/relationships/hyperlink" Target="http://arxiv.org/abs/1703.03130" TargetMode="External"/><Relationship Id="rId26" Type="http://schemas.openxmlformats.org/officeDocument/2006/relationships/hyperlink" Target="http://arxiv.org/abs/1511.06114" TargetMode="External"/><Relationship Id="rId27" Type="http://schemas.openxmlformats.org/officeDocument/2006/relationships/hyperlink" Target="http://arxiv.org/abs/1508.04025" TargetMode="External"/><Relationship Id="rId28" Type="http://schemas.openxmlformats.org/officeDocument/2006/relationships/hyperlink" Target="http://arxiv.org/abs/1705.04304" TargetMode="External"/><Relationship Id="rId29" Type="http://schemas.openxmlformats.org/officeDocument/2006/relationships/hyperlink" Target="http://arxiv.org/abs/1608.05859" TargetMode="External"/><Relationship Id="rId30" Type="http://schemas.openxmlformats.org/officeDocument/2006/relationships/hyperlink" Target="http://arxiv.org/abs/1508.07909" TargetMode="External"/><Relationship Id="rId31" Type="http://schemas.openxmlformats.org/officeDocument/2006/relationships/hyperlink" Target="http://arxiv.org/abs/1701.06538" TargetMode="External"/><Relationship Id="rId32" Type="http://schemas.openxmlformats.org/officeDocument/2006/relationships/hyperlink" Target="http://arxiv.org/abs/1609.08144" TargetMode="External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