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394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111111"/>
          <w:sz w:val="34"/>
        </w:rPr>
        <w:t>Adaptive Speculative Decoding under Heterogeneous Draft</w:t>
      </w:r>
    </w:p>
    <w:p>
      <w:pPr>
        <w:keepNext/>
        <w:spacing w:before="26" w:after="0" w:lineRule="exact" w:line="394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111111"/>
          <w:sz w:val="34"/>
        </w:rPr>
        <w:t>Models</w:t>
      </w:r>
    </w:p>
    <w:p>
      <w:pPr>
        <w:spacing w:before="220" w:after="0" w:lineRule="exact" w:line="256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1F2937"/>
          <w:sz w:val="22"/>
        </w:rPr>
        <w:t>Priya Raman Diego Álvarez Hannah Cole</w:t>
      </w:r>
    </w:p>
    <w:p>
      <w:pPr>
        <w:spacing w:before="64" w:after="0" w:lineRule="exact" w:line="220"/>
        <w:jc w:val="center"/>
      </w:pPr>
      <w:r>
        <w:rPr>
          <w:rFonts w:ascii="Times New Roman" w:hAnsi="Times New Roman" w:cs="Times New Roman" w:eastAsia="Times New Roman"/>
          <w:b w:val="0"/>
          <w:i/>
          <w:color w:val="444444"/>
          <w:sz w:val="19"/>
        </w:rPr>
        <w:t>Institute for Efficient Computation, Basel</w:t>
      </w:r>
    </w:p>
    <w:p>
      <w:pPr>
        <w:spacing w:before="0" w:after="0" w:lineRule="exact" w:line="1582"/>
      </w:pPr>
      <w:r>
        <w:rPr>
          <w:sz w:val="2"/>
        </w:rPr>
      </w:r>
    </w:p>
    <w:p>
      <w:pPr>
        <w:sectPr>
          <w:footerReference w:type="default" r:id="rId9"/>
          <w:pgSz w:w="12240" w:h="15840"/>
          <w:pgMar w:top="1298" w:right="1285" w:bottom="1012" w:left="1285" w:header="720" w:footer="682" w:gutter="0"/>
          <w:cols w:num="1"/>
          <w:docGrid w:linePitch="360"/>
        </w:sectPr>
        <w:spacing w:before="0" w:after="0" w:line="20" w:lineRule="exact"/>
      </w:pPr>
    </w:p>
    <w:p>
      <w:pPr>
        <w:keepNext/>
        <w:spacing w:before="0" w:after="0" w:lineRule="exact" w:line="266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Abstract</w:t>
      </w:r>
    </w:p>
    <w:p>
      <w:pPr>
        <w:spacing w:before="70" w:after="0" w:lineRule="exact" w:line="230"/>
        <w:ind w:left="6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Speculative decoding accelerates autoregressive generation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by drafting tokens with a small model and verifying them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with a large one. Fixed draft models, however, leave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acceptance rates on the table when input difficulty varies. We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introduce ASD, a router that selects among heterogeneous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draft models per segment using a lightweight difficulty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estimator. On a mixed workload, ASD improves throughput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 xml:space="preserve">by 1.9× over the best fixed draft while matching output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8"/>
        </w:rPr>
        <w:t>distributions exactly.</w:t>
      </w:r>
    </w:p>
    <w:p>
      <w:pPr>
        <w:keepNext/>
        <w:spacing w:before="224" w:after="0" w:lineRule="exact" w:line="266"/>
        <w:ind w:left="10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1 Introduction</w:t>
      </w:r>
    </w:p>
    <w:p>
      <w:pPr>
        <w:spacing w:before="68" w:after="0" w:lineRule="exact" w:line="24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Large-model inference remains dominated by sequential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token generation. Speculative methods amortize this cost,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but their benefit hinges on the acceptance rate of drafted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tokens, which varies sharply with content difficulty. Prior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work fixes a single draft model ahead of time, implicitly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assuming difficulty is stationary. It is not.</w:t>
      </w:r>
    </w:p>
    <w:p>
      <w:pPr>
        <w:spacing w:before="100" w:after="0" w:lineRule="exact" w:line="24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We observe that acceptance traces exhibit regime shifts at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segment boundaries — code blocks, tables, and quoted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material each favor different drafters. This motivates a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per-segment routing decision.</w:t>
      </w:r>
    </w:p>
    <w:p>
      <w:pPr>
        <w:keepNext/>
        <w:spacing w:before="226" w:after="0" w:lineRule="exact" w:line="266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2 Method</w:t>
      </w:r>
    </w:p>
    <w:p>
      <w:pPr>
        <w:spacing w:before="68" w:after="0" w:lineRule="exact" w:line="24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ASD maintains a pool of draft models spanning three size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classes. A difficulty estimator computes features from the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last 64 accepted tokens: entropy of the verifier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distribution, token rarity, and structural cues. A bandit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policy maps the feature vector to a drafter, updating its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estimates from observed acceptance.</w:t>
      </w:r>
    </w:p>
    <w:p>
      <w:pPr>
        <w:spacing w:before="100" w:after="0" w:lineRule="exact" w:line="244"/>
        <w:ind w:left="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Crucially, verification is unchanged, so the sampled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distribution is identical to standard decoding. The router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adds 0.3% overhead.</w:t>
      </w:r>
    </w:p>
    <w:p>
      <w:pPr>
        <w:spacing w:before="0" w:after="0" w:lineRule="exact" w:line="20"/>
      </w:pPr>
      <w:r>
        <w:br w:type="column"/>
      </w:r>
    </w:p>
    <w:p>
      <w:pPr>
        <w:spacing w:before="56" w:after="0" w:lineRule="atLeast" w:line="2646"/>
        <w:jc w:val="center"/>
      </w:pPr>
      <w:r>
        <w:drawing>
          <wp:inline xmlns:a="http://schemas.openxmlformats.org/drawingml/2006/main" xmlns:pic="http://schemas.openxmlformats.org/drawingml/2006/picture">
            <wp:extent cx="2365666" cy="1680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5666" cy="168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18" w:after="0" w:lineRule="exact" w:line="266"/>
        <w:ind w:left="4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3 Results</w:t>
      </w:r>
    </w:p>
    <w:p>
      <w:pPr>
        <w:spacing w:before="68" w:after="0" w:lineRule="exact" w:line="244"/>
        <w:ind w:left="6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Table 1 reports throughput and acceptance across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workloads. ASD dominates fixed drafters on mixed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content and is never worse than the best fixed choice by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more than 2%.</w:t>
      </w:r>
    </w:p>
    <w:p>
      <w:pPr>
        <w:spacing w:before="0" w:after="0" w:lineRule="exact" w:line="15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46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1368"/>
        <w:gridCol w:w="892"/>
        <w:gridCol w:w="1080"/>
      </w:tblGrid>
      <w:tr>
        <w:tc>
          <w:tcPr>
            <w:tcW w:w="1296" w:type="dxa"/>
            <w:tcBorders>
              <w:top w:val="single" w:sz="7" w:space="0" w:color="111111"/>
              <w:left w:val="nil"/>
              <w:bottom w:val="single" w:sz="4" w:space="0" w:color="111111"/>
              <w:right w:val="nil"/>
            </w:tcBorders>
            <w:tcMar>
              <w:top w:w="86" w:type="dxa"/>
              <w:left w:w="140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 xml:space="preserve">Workload </w:t>
            </w:r>
          </w:p>
        </w:tc>
        <w:tc>
          <w:tcPr>
            <w:tcW w:w="1368" w:type="dxa"/>
            <w:tcBorders>
              <w:top w:val="single" w:sz="7" w:space="0" w:color="111111"/>
              <w:left w:val="nil"/>
              <w:bottom w:val="single" w:sz="4" w:space="0" w:color="111111"/>
              <w:right w:val="nil"/>
            </w:tcBorders>
            <w:tcMar>
              <w:top w:w="86" w:type="dxa"/>
              <w:left w:w="410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 xml:space="preserve">Best fixed </w:t>
            </w:r>
          </w:p>
        </w:tc>
        <w:tc>
          <w:tcPr>
            <w:tcW w:w="892" w:type="dxa"/>
            <w:tcBorders>
              <w:top w:val="single" w:sz="7" w:space="0" w:color="111111"/>
              <w:left w:val="nil"/>
              <w:bottom w:val="single" w:sz="4" w:space="0" w:color="111111"/>
              <w:right w:val="nil"/>
            </w:tcBorders>
            <w:tcMar>
              <w:top w:w="86" w:type="dxa"/>
              <w:left w:w="236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7"/>
              </w:rPr>
              <w:t xml:space="preserve">ASD </w:t>
            </w:r>
          </w:p>
        </w:tc>
        <w:tc>
          <w:tcPr>
            <w:tcW w:w="1080" w:type="dxa"/>
            <w:tcBorders>
              <w:top w:val="single" w:sz="7" w:space="0" w:color="111111"/>
              <w:left w:val="nil"/>
              <w:bottom w:val="single" w:sz="4" w:space="0" w:color="111111"/>
              <w:right w:val="nil"/>
            </w:tcBorders>
            <w:tcMar>
              <w:top w:w="86" w:type="dxa"/>
              <w:left w:w="264" w:type="dxa"/>
              <w:bottom w:w="94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∆</w:t>
            </w:r>
          </w:p>
        </w:tc>
      </w:tr>
      <w:tr>
        <w:tc>
          <w:tcPr>
            <w:tcW w:w="1296" w:type="dxa"/>
            <w:tcBorders>
              <w:top w:val="single" w:sz="4" w:space="0" w:color="111111"/>
              <w:left w:val="nil"/>
              <w:bottom w:val="nil"/>
              <w:right w:val="nil"/>
            </w:tcBorders>
            <w:tcMar>
              <w:top w:w="68" w:type="dxa"/>
              <w:left w:w="140" w:type="dxa"/>
              <w:bottom w:w="86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Prose </w:t>
            </w:r>
          </w:p>
        </w:tc>
        <w:tc>
          <w:tcPr>
            <w:tcW w:w="1368" w:type="dxa"/>
            <w:tcBorders>
              <w:top w:val="single" w:sz="4" w:space="0" w:color="111111"/>
              <w:left w:val="nil"/>
              <w:bottom w:val="nil"/>
              <w:right w:val="nil"/>
            </w:tcBorders>
            <w:tcMar>
              <w:top w:w="68" w:type="dxa"/>
              <w:left w:w="426" w:type="dxa"/>
              <w:bottom w:w="86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1.42× </w:t>
            </w:r>
          </w:p>
        </w:tc>
        <w:tc>
          <w:tcPr>
            <w:tcW w:w="892" w:type="dxa"/>
            <w:tcBorders>
              <w:top w:val="single" w:sz="4" w:space="0" w:color="111111"/>
              <w:left w:val="nil"/>
              <w:bottom w:val="nil"/>
              <w:right w:val="nil"/>
            </w:tcBorders>
            <w:tcMar>
              <w:top w:w="68" w:type="dxa"/>
              <w:left w:w="254" w:type="dxa"/>
              <w:bottom w:w="86" w:type="dxa"/>
              <w:right w:w="20" w:type="dxa"/>
            </w:tcMar>
          </w:tcPr>
          <w:p>
            <w:pPr>
              <w:spacing w:before="0" w:after="0" w:lineRule="exact" w:line="19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1.51× </w:t>
            </w:r>
          </w:p>
        </w:tc>
        <w:tc>
          <w:tcPr>
            <w:tcW w:w="1080" w:type="dxa"/>
            <w:tcBorders>
              <w:top w:val="single" w:sz="4" w:space="0" w:color="111111"/>
              <w:left w:val="nil"/>
              <w:bottom w:val="nil"/>
              <w:right w:val="nil"/>
            </w:tcBorders>
            <w:tcMar>
              <w:top w:w="68" w:type="dxa"/>
              <w:left w:w="266" w:type="dxa"/>
              <w:bottom w:w="86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+6%</w:t>
            </w:r>
          </w:p>
        </w:tc>
      </w:tr>
      <w:t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76" w:type="dxa"/>
              <w:left w:w="144" w:type="dxa"/>
              <w:bottom w:w="86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Code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top w:w="76" w:type="dxa"/>
              <w:left w:w="426" w:type="dxa"/>
              <w:bottom w:w="86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1.66× 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tcMar>
              <w:top w:w="76" w:type="dxa"/>
              <w:left w:w="254" w:type="dxa"/>
              <w:bottom w:w="86" w:type="dxa"/>
              <w:right w:w="20" w:type="dxa"/>
            </w:tcMar>
          </w:tcPr>
          <w:p>
            <w:pPr>
              <w:spacing w:before="0" w:after="0" w:lineRule="exact" w:line="19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1.83×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76" w:type="dxa"/>
              <w:left w:w="266" w:type="dxa"/>
              <w:bottom w:w="86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+10%</w:t>
            </w:r>
          </w:p>
        </w:tc>
      </w:tr>
      <w:tr>
        <w:tc>
          <w:tcPr>
            <w:tcW w:w="1296" w:type="dxa"/>
            <w:tcBorders>
              <w:top w:val="nil"/>
              <w:left w:val="nil"/>
              <w:bottom w:val="single" w:sz="7" w:space="0" w:color="111111"/>
              <w:right w:val="nil"/>
            </w:tcBorders>
            <w:tcMar>
              <w:top w:w="76" w:type="dxa"/>
              <w:left w:w="140" w:type="dxa"/>
              <w:bottom w:w="112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Mixed 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7" w:space="0" w:color="111111"/>
              <w:right w:val="nil"/>
            </w:tcBorders>
            <w:tcMar>
              <w:top w:w="76" w:type="dxa"/>
              <w:left w:w="426" w:type="dxa"/>
              <w:bottom w:w="112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1.31× </w:t>
            </w:r>
          </w:p>
        </w:tc>
        <w:tc>
          <w:tcPr>
            <w:tcW w:w="892" w:type="dxa"/>
            <w:tcBorders>
              <w:top w:val="nil"/>
              <w:left w:val="nil"/>
              <w:bottom w:val="single" w:sz="7" w:space="0" w:color="111111"/>
              <w:right w:val="nil"/>
            </w:tcBorders>
            <w:tcMar>
              <w:top w:w="76" w:type="dxa"/>
              <w:left w:w="254" w:type="dxa"/>
              <w:bottom w:w="112" w:type="dxa"/>
              <w:right w:w="20" w:type="dxa"/>
            </w:tcMar>
          </w:tcPr>
          <w:p>
            <w:pPr>
              <w:spacing w:before="0" w:after="0" w:lineRule="exact" w:line="198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 xml:space="preserve">1.90×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7" w:space="0" w:color="111111"/>
              <w:right w:val="nil"/>
            </w:tcBorders>
            <w:tcMar>
              <w:top w:w="76" w:type="dxa"/>
              <w:left w:w="266" w:type="dxa"/>
              <w:bottom w:w="112" w:type="dxa"/>
              <w:right w:w="20" w:type="dxa"/>
            </w:tcMar>
          </w:tcPr>
          <w:p>
            <w:pPr>
              <w:spacing w:before="0" w:after="0" w:lineRule="exact" w:line="198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7"/>
              </w:rPr>
              <w:t>+45%</w:t>
            </w:r>
          </w:p>
        </w:tc>
      </w:tr>
    </w:tbl>
    <w:p>
      <w:pPr>
        <w:spacing w:before="50" w:after="0" w:lineRule="exact" w:line="186"/>
        <w:jc w:val="center"/>
      </w:pPr>
      <w:r>
        <w:rPr>
          <w:rFonts w:ascii="Times New Roman" w:hAnsi="Times New Roman" w:cs="Times New Roman" w:eastAsia="Times New Roman"/>
          <w:b w:val="0"/>
          <w:i/>
          <w:color w:val="1F2937"/>
          <w:sz w:val="16"/>
        </w:rPr>
        <w:t>Table 1: Throughput vs. the best fixed draft model.</w:t>
      </w:r>
    </w:p>
    <w:p>
      <w:pPr>
        <w:keepNext/>
        <w:spacing w:before="218" w:after="0" w:lineRule="exact" w:line="266"/>
        <w:ind w:left="6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4 Related Work</w:t>
      </w:r>
    </w:p>
    <w:p>
      <w:pPr>
        <w:spacing w:before="68" w:after="0" w:lineRule="exact" w:line="244"/>
        <w:ind w:left="12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Speculative decoding builds on rejection-sampling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equivalence results; subsequent variants explore tree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drafting, self-drafting, and early exit. Router-based model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selection appears in serving literature but has not been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applied per-segment within a single generation.</w:t>
      </w:r>
    </w:p>
    <w:p>
      <w:pPr>
        <w:keepNext/>
        <w:spacing w:before="226" w:after="0" w:lineRule="exact" w:line="266"/>
        <w:ind w:left="8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5 Conclusion</w:t>
      </w:r>
    </w:p>
    <w:p>
      <w:pPr>
        <w:spacing w:before="68" w:after="0" w:lineRule="exact" w:line="244"/>
        <w:ind w:left="4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Difficulty-aware routing recovers headroom that fixed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 xml:space="preserve">draft models leave behind, with no distributional cost.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9"/>
        </w:rPr>
        <w:t>Future work extends the estimator to multimodal inputs.</w:t>
      </w:r>
    </w:p>
    <w:p>
      <w:pPr>
        <w:keepNext/>
        <w:spacing w:before="226" w:after="0" w:lineRule="exact" w:line="266"/>
        <w:ind w:left="4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111111"/>
          <w:sz w:val="23"/>
        </w:rPr>
        <w:t>References</w:t>
      </w:r>
    </w:p>
    <w:p>
      <w:pPr>
        <w:sectPr>
          <w:type w:val="continuous"/>
          <w:pgSz w:w="12240" w:h="15840"/>
          <w:pgMar w:top="1298" w:right="1285" w:bottom="1012" w:left="1285" w:header="720" w:footer="682" w:gutter="0"/>
          <w:cols w:num="2" w:space="718" w:equalWidth="1"/>
          <w:docGrid w:linePitch="360"/>
        </w:sectPr>
        <w:spacing w:before="0" w:after="0" w:line="20" w:lineRule="exact"/>
      </w:pPr>
    </w:p>
    <w:p>
      <w:pPr>
        <w:spacing w:before="0" w:after="0" w:lineRule="exact" w:line="210"/>
        <w:ind w:left="8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 xml:space="preserve">[1] Raman, P. et al. Segment-aware inference schedulers. In Proc.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 xml:space="preserve">ESC, 2025.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 xml:space="preserve">[2] Álvarez, D. and Cole, H. Bandit routing for serving fleets. J.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 xml:space="preserve">Systems ML, 2024.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 xml:space="preserve">[3] Cole, H. Difficulty estimation from verifier entropy. </w:t>
      </w:r>
      <w:r>
        <w:rPr>
          <w:rFonts w:ascii="Times New Roman" w:hAnsi="Times New Roman" w:cs="Times New Roman" w:eastAsia="Times New Roman"/>
          <w:b w:val="0"/>
          <w:i w:val="0"/>
          <w:color w:val="111111"/>
          <w:sz w:val="17"/>
        </w:rPr>
        <w:t>Workshop on Eff. NLP, 2025.</w:t>
      </w:r>
    </w:p>
    <w:sectPr w:rsidR="00FC693F" w:rsidRPr="0006063C" w:rsidSect="00034616">
      <w:pgSz w:w="12240" w:h="15840"/>
      <w:pgMar w:top="1298" w:right="1285" w:bottom="1012" w:left="1285" w:header="720" w:footer="682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08"/>
      <w:jc w:val="center"/>
    </w:pPr>
    <w:fldSimple w:instr=" PAGE ">
      <w:r>
        <w:rPr>
          <w:rFonts w:ascii="Times New Roman" w:hAnsi="Times New Roman" w:cs="Times New Roman" w:eastAsia="Times New Roman"/>
          <w:b w:val="0"/>
          <w:i w:val="0"/>
          <w:color w:val="1F2937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