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Layout w:type="fixed"/>
        <w:tblW w:w="1198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1987"/>
      </w:tblGrid>
      <w:tr>
        <w:tc>
          <w:tcPr>
            <w:tcW w:w="11987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1134" w:type="dxa"/>
              <w:left w:w="1058" w:type="dxa"/>
              <w:bottom w:w="506" w:type="dxa"/>
              <w:right w:w="80" w:type="dxa"/>
            </w:tcMar>
          </w:tcPr>
          <w:p>
            <w:pPr>
              <w:spacing w:before="0" w:after="0" w:lineRule="exact" w:line="306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FFFFFF"/>
                <w:sz w:val="20"/>
              </w:rPr>
              <w:t xml:space="preserve">oduction RAG degrades quietly — and what to measure instead </w:t>
            </w:r>
            <w:r>
              <w:rPr>
                <w:rFonts w:ascii="Arial" w:hAnsi="Arial" w:cs="Arial" w:eastAsia="Arial"/>
                <w:b w:val="0"/>
                <w:i w:val="0"/>
                <w:color w:val="FFFFFF"/>
                <w:sz w:val="16"/>
              </w:rPr>
              <w:t xml:space="preserve"> Whitepaper · July 2026</w:t>
            </w:r>
          </w:p>
        </w:tc>
      </w:tr>
    </w:tbl>
    <w:p>
      <w:pPr>
        <w:keepNext/>
        <w:spacing w:before="350" w:after="0" w:lineRule="exact" w:line="288"/>
        <w:ind w:left="16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1. Executive summary</w:t>
      </w:r>
    </w:p>
    <w:p>
      <w:pPr>
        <w:spacing w:before="120" w:after="0" w:lineRule="exact" w:line="26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Retrieval quality degrades non-linearly as the corpus grows past the point where the embedding model was calibrated,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and the failure is quiet: recall stays flat while precision collapses in the 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will not see it. 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counts, and the reranker has to be trained on the same distribution it will serve. Everything else is tuning.</w:t>
      </w:r>
    </w:p>
    <w:p>
      <w:pPr>
        <w:spacing w:before="206" w:after="0" w:lineRule="atLeast" w:line="1178"/>
        <w:jc w:val="center"/>
      </w:pPr>
      <w:r>
        <w:drawing>
          <wp:inline xmlns:a="http://schemas.openxmlformats.org/drawingml/2006/main" xmlns:pic="http://schemas.openxmlformats.org/drawingml/2006/picture">
            <wp:extent cx="6285645" cy="748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5645" cy="74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02" w:after="0" w:lineRule="exact" w:line="288"/>
        <w:ind w:left="2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2. Where the failure hides</w:t>
      </w:r>
    </w:p>
    <w:p>
      <w:pPr>
        <w:spacing w:before="120" w:after="0" w:lineRule="exact" w:line="26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Retrieval quality degrades non-linearly as the corpus grows past the point where the embedding model was calibrated,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and the failure is quiet: recall stays flat while precision collapses in the tail. Teams that measure only average relevance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will not see it.</w:t>
      </w:r>
    </w:p>
    <w:p>
      <w:pPr>
        <w:tabs>
          <w:tab w:pos="354" w:val="left"/>
        </w:tabs>
        <w:spacing w:before="532" w:after="0" w:lineRule="exact" w:line="216"/>
        <w:ind w:left="354" w:hanging="196"/>
        <w:jc w:val="left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Tail queries carry most of the business value and least of the traffic.</w:t>
      </w:r>
    </w:p>
    <w:p>
      <w:pPr>
        <w:tabs>
          <w:tab w:pos="358" w:val="left"/>
        </w:tabs>
        <w:spacing w:before="116" w:after="0" w:lineRule="exact" w:line="216"/>
        <w:ind w:left="358" w:hanging="202"/>
        <w:jc w:val="left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Chunk boundaries drawn on token counts sever the exact clauses users ask about.</w:t>
      </w:r>
    </w:p>
    <w:p>
      <w:pPr>
        <w:tabs>
          <w:tab w:pos="348" w:val="left"/>
        </w:tabs>
        <w:spacing w:before="0" w:after="0" w:lineRule="exact" w:line="216"/>
        <w:ind w:left="348" w:hanging="192"/>
        <w:jc w:val="left"/>
      </w:pPr>
      <w:r>
        <w:rPr>
          <w:rFonts w:ascii="Arial" w:hAnsi="Arial" w:cs="Arial" w:eastAsia="Arial"/>
          <w:b w:val="0"/>
          <w:i w:val="0"/>
          <w:color w:val="1A1A1A"/>
          <w:sz w:val="19"/>
        </w:rPr>
        <w:t>•</w:t>
      </w:r>
      <w:r>
        <w:rPr>
          <w:rFonts w:ascii="Arial" w:hAnsi="Arial" w:cs="Arial" w:eastAsia="Arial"/>
          <w:b w:val="0"/>
          <w:i w:val="0"/>
          <w:color w:val="1A1A1A"/>
          <w:sz w:val="19"/>
        </w:rPr>
        <w:tab/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Average relevance is a lagging indicator; it moves last.</w:t>
      </w:r>
    </w:p>
    <w:p>
      <w:pPr>
        <w:spacing w:before="0" w:after="0" w:lineRule="exact" w:line="906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800"/>
      </w:tblGrid>
      <w:tr>
        <w:tc>
          <w:tcPr>
            <w:tcW w:w="9800" w:type="dxa"/>
            <w:shd w:val="clear" w:fill="EEF7F1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70" w:type="dxa"/>
              <w:bottom w:w="174" w:type="dxa"/>
              <w:right w:w="80" w:type="dxa"/>
            </w:tcMar>
          </w:tcPr>
          <w:p>
            <w:pPr>
              <w:spacing w:before="0" w:after="0" w:lineRule="exact" w:line="266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1A1A1A"/>
                <w:sz w:val="19"/>
              </w:rPr>
              <w:t>Key finding.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 Precision in the bottom decile of query frequency fell 41% while mean nDCG moved less than two 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points.</w:t>
            </w:r>
          </w:p>
        </w:tc>
      </w:tr>
    </w:tbl>
    <w:p>
      <w:pPr>
        <w:keepNext/>
        <w:spacing w:before="350" w:after="0" w:lineRule="exact" w:line="288"/>
        <w:ind w:left="6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3. Measured results</w:t>
      </w:r>
    </w:p>
    <w:p>
      <w:pPr>
        <w:spacing w:before="0" w:after="0" w:lineRule="exact" w:line="188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53"/>
        <w:gridCol w:w="1920"/>
        <w:gridCol w:w="2347"/>
        <w:gridCol w:w="2080"/>
      </w:tblGrid>
      <w:tr>
        <w:tc>
          <w:tcPr>
            <w:tcW w:w="3453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 xml:space="preserve">Configuration </w:t>
            </w:r>
          </w:p>
        </w:tc>
        <w:tc>
          <w:tcPr>
            <w:tcW w:w="192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42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 xml:space="preserve">nDCG@10 </w:t>
            </w:r>
          </w:p>
        </w:tc>
        <w:tc>
          <w:tcPr>
            <w:tcW w:w="2347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32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 xml:space="preserve">Tail precision </w:t>
            </w:r>
          </w:p>
        </w:tc>
        <w:tc>
          <w:tcPr>
            <w:tcW w:w="2080" w:type="dxa"/>
            <w:shd w:val="clear" w:fill="123A5E"/>
            <w:tcBorders>
              <w:top w:val="nil"/>
              <w:left w:val="nil"/>
              <w:bottom w:val="nil"/>
              <w:right w:val="nil"/>
            </w:tcBorders>
            <w:tcMar>
              <w:top w:w="88" w:type="dxa"/>
              <w:left w:w="140" w:type="dxa"/>
              <w:bottom w:w="126" w:type="dxa"/>
              <w:right w:w="80" w:type="dxa"/>
            </w:tcMar>
          </w:tcPr>
          <w:p>
            <w:pPr>
              <w:spacing w:before="0" w:after="0" w:lineRule="exact" w:line="186"/>
              <w:jc w:val="lef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p95 latency</w:t>
            </w:r>
          </w:p>
        </w:tc>
      </w:tr>
    </w:tbl>
    <w:p>
      <w:pPr>
        <w:spacing w:before="92" w:after="0" w:lineRule="exact" w:line="196"/>
        <w:ind w:left="128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 xml:space="preserve">Baseline dense </w:t>
      </w:r>
    </w:p>
    <w:p>
      <w:pPr>
        <w:spacing w:before="0" w:after="0" w:lineRule="exact" w:line="196"/>
        <w:ind w:left="3588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 xml:space="preserve">0.612 </w:t>
      </w:r>
    </w:p>
    <w:p>
      <w:pPr>
        <w:spacing w:before="0" w:after="0" w:lineRule="exact" w:line="196"/>
        <w:ind w:left="550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 xml:space="preserve">0.301 </w:t>
      </w:r>
    </w:p>
    <w:p>
      <w:pPr>
        <w:spacing w:before="0" w:after="0" w:lineRule="exact" w:line="196"/>
        <w:ind w:left="7850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>410 ms</w:t>
      </w:r>
    </w:p>
    <w:p>
      <w:pPr>
        <w:spacing w:before="0" w:after="0" w:lineRule="exact" w:line="1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53"/>
        <w:gridCol w:w="1920"/>
        <w:gridCol w:w="2347"/>
        <w:gridCol w:w="2080"/>
      </w:tblGrid>
      <w:tr>
        <w:tc>
          <w:tcPr>
            <w:tcW w:w="3453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6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 xml:space="preserve">+ structural chunking </w:t>
            </w:r>
          </w:p>
        </w:tc>
        <w:tc>
          <w:tcPr>
            <w:tcW w:w="192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8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 xml:space="preserve">0.634 </w:t>
            </w:r>
          </w:p>
        </w:tc>
        <w:tc>
          <w:tcPr>
            <w:tcW w:w="2347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6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 xml:space="preserve">0.447 </w:t>
            </w:r>
          </w:p>
        </w:tc>
        <w:tc>
          <w:tcPr>
            <w:tcW w:w="208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4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425 ms</w:t>
            </w:r>
          </w:p>
        </w:tc>
      </w:tr>
    </w:tbl>
    <w:p>
      <w:pPr>
        <w:spacing w:before="92" w:after="0" w:lineRule="exact" w:line="196"/>
        <w:ind w:left="13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7"/>
        </w:rPr>
        <w:t>+ in-domain reranker 0.671 0.588 690 ms</w:t>
      </w:r>
    </w:p>
    <w:p>
      <w:pPr>
        <w:spacing w:before="0" w:after="0" w:lineRule="exact" w:line="112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3453"/>
        <w:gridCol w:w="1920"/>
        <w:gridCol w:w="2347"/>
        <w:gridCol w:w="2080"/>
      </w:tblGrid>
      <w:tr>
        <w:tc>
          <w:tcPr>
            <w:tcW w:w="3453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6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 xml:space="preserve">+ query rewriting </w:t>
            </w:r>
          </w:p>
        </w:tc>
        <w:tc>
          <w:tcPr>
            <w:tcW w:w="192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8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 xml:space="preserve">0.688 </w:t>
            </w:r>
          </w:p>
        </w:tc>
        <w:tc>
          <w:tcPr>
            <w:tcW w:w="2347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6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 xml:space="preserve">0.601 </w:t>
            </w:r>
          </w:p>
        </w:tc>
        <w:tc>
          <w:tcPr>
            <w:tcW w:w="2080" w:type="dxa"/>
            <w:shd w:val="clear" w:fill="F2F5F8"/>
            <w:tcBorders>
              <w:top w:val="nil"/>
              <w:left w:val="nil"/>
              <w:bottom w:val="nil"/>
              <w:right w:val="nil"/>
            </w:tcBorders>
            <w:tcMar>
              <w:top w:w="92" w:type="dxa"/>
              <w:left w:w="136" w:type="dxa"/>
              <w:bottom w:w="112" w:type="dxa"/>
              <w:right w:w="80" w:type="dxa"/>
            </w:tcMar>
          </w:tcPr>
          <w:p>
            <w:pPr>
              <w:spacing w:before="0" w:after="0" w:lineRule="exact" w:line="196"/>
              <w:jc w:val="left"/>
            </w:pP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7"/>
              </w:rPr>
              <w:t>940 ms</w:t>
            </w:r>
          </w:p>
        </w:tc>
      </w:tr>
    </w:tbl>
    <w:p>
      <w:pPr>
        <w:spacing w:before="0" w:after="0" w:lineRule="exact" w:line="214"/>
      </w:pPr>
      <w:r>
        <w:rPr>
          <w:sz w:val="2"/>
        </w:rPr>
      </w:r>
    </w:p>
    <w:tbl>
      <w:tblPr>
        <w:jc w:val="left"/>
        <w:tblLook w:firstColumn="1" w:firstRow="1" w:lastColumn="0" w:lastRow="0" w:noHBand="0" w:noVBand="1" w:val="04A0"/>
        <w:tblLayout w:type="fixed"/>
        <w:tblW w:w="9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9800"/>
      </w:tblGrid>
      <w:tr>
        <w:tc>
          <w:tcPr>
            <w:tcW w:w="9800" w:type="dxa"/>
            <w:shd w:val="clear" w:fill="FDF1E8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64" w:type="dxa"/>
              <w:bottom w:w="174" w:type="dxa"/>
              <w:right w:w="80" w:type="dxa"/>
            </w:tcMar>
          </w:tcPr>
          <w:p>
            <w:pPr>
              <w:spacing w:before="0" w:after="0" w:lineRule="exact" w:line="266"/>
              <w:jc w:val="left"/>
            </w:pPr>
            <w:r>
              <w:rPr>
                <w:rFonts w:ascii="Georgia" w:hAnsi="Georgia" w:cs="Georgia" w:eastAsia="Georgia"/>
                <w:b/>
                <w:i w:val="0"/>
                <w:color w:val="1A1A1A"/>
                <w:sz w:val="19"/>
              </w:rPr>
              <w:t>Caveat.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 xml:space="preserve"> Latency is measured on warm caches. Cold-start numbers are roughly 1.8x higher and are reported in </w:t>
            </w:r>
            <w:r>
              <w:rPr>
                <w:rFonts w:ascii="Georgia" w:hAnsi="Georgia" w:cs="Georgia" w:eastAsia="Georgia"/>
                <w:b w:val="0"/>
                <w:i w:val="0"/>
                <w:color w:val="1A1A1A"/>
                <w:sz w:val="19"/>
              </w:rPr>
              <w:t>Appendix B.</w:t>
            </w:r>
          </w:p>
        </w:tc>
      </w:tr>
    </w:tbl>
    <w:p>
      <w:pPr>
        <w:keepNext/>
        <w:spacing w:before="350" w:after="0" w:lineRule="exact" w:line="288"/>
        <w:ind w:left="2"/>
        <w:jc w:val="left"/>
        <w:outlineLvl w:val="0"/>
      </w:pPr>
      <w:r>
        <w:rPr>
          <w:rFonts w:ascii="Arial" w:hAnsi="Arial" w:cs="Arial" w:eastAsia="Arial"/>
          <w:b/>
          <w:i w:val="0"/>
          <w:color w:val="123A5E"/>
          <w:sz w:val="25"/>
        </w:rPr>
        <w:t>4. Recommendations</w:t>
      </w:r>
    </w:p>
    <w:p>
      <w:pPr>
        <w:spacing w:before="40" w:after="0" w:lineRule="exact" w:line="346"/>
        <w:ind w:left="162" w:firstLine="26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1. Instrument tail precision as a first-class SLO.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2. Re-chunk on document structure, not token windows.</w:t>
      </w:r>
    </w:p>
    <w:p>
      <w:pPr>
        <w:spacing w:before="0" w:after="0" w:lineRule="exact" w:line="20"/>
      </w:pPr>
      <w:r>
        <w:br w:type="page"/>
      </w:r>
    </w:p>
    <w:p>
      <w:pPr>
        <w:spacing w:before="890" w:after="0" w:lineRule="exact" w:line="440"/>
        <w:ind w:firstLine="162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3. Train the reranker on the served distribution. </w:t>
      </w:r>
      <w:r>
        <w:rPr>
          <w:rFonts w:ascii="Georgia" w:hAnsi="Georgia" w:cs="Georgia" w:eastAsia="Georgia"/>
          <w:b w:val="0"/>
          <w:i/>
          <w:color w:val="444444"/>
          <w:sz w:val="19"/>
        </w:rPr>
        <w:t xml:space="preserve">The systems that failed did not fail loudly. They returned plausible documents that were subtly wrong.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 xml:space="preserve">The mitigation is unglamorous. Chunk boundaries must respect document structure rather than token counts, and the </w:t>
      </w:r>
      <w:r>
        <w:rPr>
          <w:rFonts w:ascii="Georgia" w:hAnsi="Georgia" w:cs="Georgia" w:eastAsia="Georgia"/>
          <w:b w:val="0"/>
          <w:i w:val="0"/>
          <w:color w:val="1A1A1A"/>
          <w:sz w:val="19"/>
        </w:rPr>
        <w:t>reranker has to be trained on the same distribution it will serve. Everything else is tuning.</w:t>
      </w:r>
    </w:p>
    <w:sectPr w:rsidR="00FC693F" w:rsidRPr="0006063C" w:rsidSect="00034616">
      <w:pgSz w:w="12240" w:h="15840"/>
      <w:pgMar w:top="200" w:right="1216" w:bottom="1028" w:left="1234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