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ind w:left="16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Multilingual Coverage Test</w:t>
      </w:r>
    </w:p>
    <w:p>
      <w:pPr>
        <w:keepNext/>
        <w:spacing w:before="482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Chinese (Simplified)</w:t>
      </w:r>
    </w:p>
    <w:p>
      <w:pPr>
        <w:spacing w:before="122" w:after="0" w:lineRule="exact" w:line="316"/>
        <w:jc w:val="both"/>
      </w:pP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检索质量随着语料库规模的增长呈非线性下降，而且这种失败是安静的： 召回率保持平稳，精确率却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在长尾崩塌。只测量平均相关性的团队看不到这一点。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Japanese</w:t>
      </w:r>
    </w:p>
    <w:p>
      <w:pPr>
        <w:spacing w:before="122" w:after="0" w:lineRule="exact" w:line="316"/>
        <w:ind w:left="22"/>
        <w:jc w:val="both"/>
      </w:pPr>
      <w:r>
        <w:rPr>
          <w:rFonts w:ascii="Arial" w:hAnsi="Arial" w:cs="Arial" w:eastAsia="Arial"/>
          <w:b w:val="0"/>
          <w:i w:val="0"/>
          <w:color w:val="1A1A1A"/>
          <w:sz w:val="22"/>
        </w:rPr>
        <w:t>コーパスが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埋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込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みモデルの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較正点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を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超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えて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大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きくなると、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検索品質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は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非線形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に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低下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します。しか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もその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失敗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は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静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かです。</w:t>
      </w:r>
    </w:p>
    <w:p>
      <w:pPr>
        <w:keepNext/>
        <w:spacing w:before="454" w:after="0" w:lineRule="exact" w:line="324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Korean</w:t>
      </w:r>
    </w:p>
    <w:p>
      <w:pPr>
        <w:spacing w:before="182" w:after="0" w:lineRule="exact" w:line="256"/>
        <w:ind w:left="10"/>
        <w:jc w:val="left"/>
      </w:pPr>
      <w:r>
        <w:rPr>
          <w:rFonts w:ascii="Arial" w:hAnsi="Arial" w:cs="Arial" w:eastAsia="Arial"/>
          <w:b w:val="0"/>
          <w:i w:val="0"/>
          <w:color w:val="1A1A1A"/>
          <w:sz w:val="22"/>
        </w:rPr>
        <w:t>말뭉치가 임베딩 모델이 보정된 지점을 넘어 커지면 검색 품질은 비선형적으로 저하됩니다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Arabic (RTL)</w:t>
      </w:r>
    </w:p>
    <w:p>
      <w:pPr>
        <w:spacing w:before="182" w:after="0" w:lineRule="exact" w:line="256"/>
        <w:ind w:left="1204"/>
        <w:jc w:val="righ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تتدهور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جودة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الاسترجاع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بشكل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غير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خطي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مع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نمو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مجموعة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النصوص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إلى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بعد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النقطة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التي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تمت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فيها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معايرة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نموذج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التضمين</w:t>
      </w:r>
    </w:p>
    <w:p>
      <w:pPr>
        <w:keepNext/>
        <w:spacing w:before="438" w:after="0" w:lineRule="exact" w:line="324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Hebrew (RTL)</w:t>
      </w:r>
    </w:p>
    <w:p>
      <w:pPr>
        <w:spacing w:before="182" w:after="0" w:lineRule="exact" w:line="256"/>
        <w:ind w:left="2550"/>
        <w:jc w:val="righ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איכות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האחזור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יורדת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באופן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לא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ליניארי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ככל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שהקורפוס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גדל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מעבר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לנקודה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שבה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כויל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מודל</w:t>
      </w:r>
      <w:r>
        <w:rPr>
          <w:rFonts w:ascii="Arial" w:hAnsi="Arial" w:cs="Arial" w:eastAsia="Arial"/>
          <w:b w:val="0"/>
          <w:i w:val="0"/>
          <w:color w:val="000000"/>
          <w:sz w:val="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ההטמעה</w:t>
      </w:r>
    </w:p>
    <w:p>
      <w:pPr>
        <w:keepNext/>
        <w:spacing w:before="452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Accented Latin &amp; symbols</w:t>
      </w:r>
    </w:p>
    <w:p>
      <w:pPr>
        <w:spacing w:before="182" w:after="0" w:lineRule="exact" w:line="25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Voilà — naïve façade, Ærøskøbing, Straße, ¿cómo estás? ½ ¾ × ÷ ≤ ≥ ≠ ∑ ∫ √ π µ Ω •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 xml:space="preserve">→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 xml:space="preserve">⇒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★</w:t>
      </w:r>
    </w:p>
    <w:sectPr w:rsidR="00FC693F" w:rsidRPr="0006063C" w:rsidSect="00034616">
      <w:pgSz w:w="12240" w:h="15840"/>
      <w:pgMar w:top="1356" w:right="1226" w:bottom="1440" w:left="1245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