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50" w:after="0" w:lineRule="exact" w:line="488"/>
        <w:jc w:val="left"/>
        <w:outlineLvl w:val="0"/>
      </w:pPr>
      <w:r>
        <w:rPr>
          <w:rFonts w:ascii="Arial" w:hAnsi="Arial" w:cs="Arial" w:eastAsia="Arial"/>
          <w:b/>
          <w:i w:val="0"/>
          <w:color w:val="134E4A"/>
          <w:sz w:val="42"/>
        </w:rPr>
        <w:t>Sentinel SDK — Integration Guide</w:t>
      </w:r>
    </w:p>
    <w:p>
      <w:pPr>
        <w:spacing w:before="102" w:after="0" w:lineRule="exact" w:line="256"/>
        <w:jc w:val="left"/>
      </w:pPr>
      <w:r>
        <w:rPr>
          <w:rFonts w:ascii="Arial" w:hAnsi="Arial" w:cs="Arial" w:eastAsia="Arial"/>
          <w:b w:val="0"/>
          <w:i w:val="0"/>
          <w:color w:val="6B7280"/>
          <w:sz w:val="22"/>
        </w:rPr>
        <w:t>Instrument request pipelines with anomaly detection in under ten minutes.</w:t>
      </w:r>
    </w:p>
    <w:p>
      <w:pPr>
        <w:spacing w:before="338" w:after="0" w:lineRule="exact" w:line="40"/>
        <w:pBdr>
          <w:top w:val="nil"/>
          <w:left w:val="nil"/>
          <w:bottom w:val="single" w:sz="10" w:space="0" w:color="0F766E"/>
          <w:right w:val="nil"/>
        </w:pBdr>
      </w:pPr>
      <w:r>
        <w:rPr>
          <w:sz w:val="2"/>
        </w:rPr>
      </w:r>
    </w:p>
    <w:p>
      <w:pPr>
        <w:keepNext/>
        <w:spacing w:before="336" w:after="0" w:lineRule="exact" w:line="348"/>
        <w:jc w:val="left"/>
        <w:outlineLvl w:val="1"/>
      </w:pPr>
      <w:r>
        <w:rPr>
          <w:rFonts w:ascii="Arial" w:hAnsi="Arial" w:cs="Arial" w:eastAsia="Arial"/>
          <w:b/>
          <w:i w:val="0"/>
          <w:color w:val="0F766E"/>
          <w:sz w:val="30"/>
        </w:rPr>
        <w:t>1. Installation</w:t>
      </w:r>
    </w:p>
    <w:p>
      <w:pPr>
        <w:spacing w:before="112" w:after="0" w:lineRule="exact" w:line="300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Sentinel ships as a single package with zero runtime dependencies. Install from the package index and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verify the CLI is on your path:</w:t>
      </w:r>
    </w:p>
    <w:p>
      <w:pPr>
        <w:spacing w:before="0" w:after="0" w:lineRule="exact" w:line="18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80"/>
      </w:tblGrid>
      <w:tr>
        <w:tc>
          <w:tcPr>
            <w:tcW w:w="10080" w:type="dxa"/>
            <w:shd w:val="clear" w:fill="F3F4F6"/>
            <w:tcBorders>
              <w:top w:val="nil"/>
              <w:left w:val="single" w:sz="8" w:space="0" w:color="D1D5DB"/>
              <w:bottom w:val="nil"/>
              <w:right w:val="nil"/>
            </w:tcBorders>
            <w:tcMar>
              <w:top w:w="136" w:type="dxa"/>
              <w:left w:w="200" w:type="dxa"/>
              <w:bottom w:w="184" w:type="dxa"/>
              <w:right w:w="80" w:type="dxa"/>
            </w:tcMar>
          </w:tcPr>
          <w:p>
            <w:pPr>
              <w:spacing w:before="0" w:after="0" w:lineRule="exact" w:line="23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>pip install sentinel-sdk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>sentinel --version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># sentinel 3.2.1 (python 3.11)</w:t>
            </w:r>
          </w:p>
        </w:tc>
      </w:tr>
    </w:tbl>
    <w:p>
      <w:pPr>
        <w:keepNext/>
        <w:spacing w:before="496" w:after="0" w:lineRule="exact" w:line="348"/>
        <w:jc w:val="left"/>
        <w:outlineLvl w:val="1"/>
      </w:pPr>
      <w:r>
        <w:rPr>
          <w:rFonts w:ascii="Arial" w:hAnsi="Arial" w:cs="Arial" w:eastAsia="Arial"/>
          <w:b/>
          <w:i w:val="0"/>
          <w:color w:val="0F766E"/>
          <w:sz w:val="30"/>
        </w:rPr>
        <w:t>2. Quickstart</w:t>
      </w:r>
    </w:p>
    <w:p>
      <w:pPr>
        <w:spacing w:before="112" w:after="0" w:lineRule="exact" w:line="300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The minimal integration wraps your handler with a detector. Thresholds adapt automatically after the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warmup window:</w:t>
      </w:r>
    </w:p>
    <w:p>
      <w:pPr>
        <w:spacing w:before="0" w:after="0" w:lineRule="exact" w:line="18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80"/>
      </w:tblGrid>
      <w:tr>
        <w:tc>
          <w:tcPr>
            <w:tcW w:w="10080" w:type="dxa"/>
            <w:shd w:val="clear" w:fill="F3F4F6"/>
            <w:tcBorders>
              <w:top w:val="nil"/>
              <w:left w:val="single" w:sz="8" w:space="0" w:color="D1D5DB"/>
              <w:bottom w:val="nil"/>
              <w:right w:val="nil"/>
            </w:tcBorders>
            <w:tcMar>
              <w:top w:w="136" w:type="dxa"/>
              <w:left w:w="200" w:type="dxa"/>
              <w:bottom w:w="184" w:type="dxa"/>
              <w:right w:w="80" w:type="dxa"/>
            </w:tcMar>
          </w:tcPr>
          <w:p>
            <w:pPr>
              <w:spacing w:before="0" w:after="0" w:lineRule="exact" w:line="23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>from sentinel import Detector, Policy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>detector = Detector(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 xml:space="preserve">    policy=Policy.adaptive(warmup=500),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 xml:space="preserve">    channels=["latency", "error_rate", "payload_entropy"],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>)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>@detector.guard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>def handle(request):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 xml:space="preserve">    return downstream.process(request)</w:t>
            </w:r>
          </w:p>
        </w:tc>
      </w:tr>
    </w:tbl>
    <w:p>
      <w:pPr>
        <w:spacing w:before="0" w:after="0" w:lineRule="exact" w:line="160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960"/>
      </w:tblGrid>
      <w:tr>
        <w:tc>
          <w:tcPr>
            <w:tcW w:w="9960" w:type="dxa"/>
            <w:shd w:val="clear" w:fill="FEF3C7"/>
            <w:tcBorders>
              <w:top w:val="nil"/>
              <w:left w:val="single" w:sz="24" w:space="0" w:color="F59E0B"/>
              <w:bottom w:val="nil"/>
              <w:right w:val="nil"/>
            </w:tcBorders>
            <w:tcMar>
              <w:top w:w="140" w:type="dxa"/>
              <w:left w:w="240" w:type="dxa"/>
              <w:bottom w:w="220" w:type="dxa"/>
              <w:right w:w="8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3A5F"/>
                <w:sz w:val="19"/>
              </w:rPr>
              <w:t>Performance note:</w:t>
            </w:r>
            <w:r>
              <w:rPr>
                <w:rFonts w:ascii="Arial" w:hAnsi="Arial" w:cs="Arial" w:eastAsia="Arial"/>
                <w:b w:val="0"/>
                <w:i w:val="0"/>
                <w:color w:val="1F2937"/>
                <w:sz w:val="19"/>
              </w:rPr>
              <w:t xml:space="preserve"> The guard decorator adds ~40µs of overhead per call. For hot paths above 50K RPS, use </w:t>
            </w:r>
            <w:r>
              <w:rPr>
                <w:rFonts w:ascii="Arial" w:hAnsi="Arial" w:cs="Arial" w:eastAsia="Arial"/>
                <w:b w:val="0"/>
                <w:i w:val="0"/>
                <w:color w:val="1F2937"/>
                <w:sz w:val="19"/>
              </w:rPr>
              <w:t>the batched API described in Section 4.</w:t>
            </w:r>
          </w:p>
        </w:tc>
      </w:tr>
    </w:tbl>
    <w:p>
      <w:pPr>
        <w:keepNext/>
        <w:spacing w:before="336" w:after="0" w:lineRule="exact" w:line="348"/>
        <w:jc w:val="left"/>
        <w:outlineLvl w:val="1"/>
      </w:pPr>
      <w:r>
        <w:rPr>
          <w:rFonts w:ascii="Arial" w:hAnsi="Arial" w:cs="Arial" w:eastAsia="Arial"/>
          <w:b/>
          <w:i w:val="0"/>
          <w:color w:val="0F766E"/>
          <w:sz w:val="30"/>
        </w:rPr>
        <w:t>3. Configuration Reference</w:t>
      </w:r>
    </w:p>
    <w:p>
      <w:pPr>
        <w:spacing w:before="168" w:after="0" w:lineRule="exact" w:line="244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All options can be set via constructor, environment, or config file. Environment variables take precedence.</w:t>
      </w:r>
    </w:p>
    <w:p>
      <w:pPr>
        <w:spacing w:before="0" w:after="0" w:lineRule="exact" w:line="18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1400"/>
        <w:gridCol w:w="2000"/>
        <w:gridCol w:w="4840"/>
      </w:tblGrid>
      <w:tr>
        <w:tc>
          <w:tcPr>
            <w:tcW w:w="1840" w:type="dxa"/>
            <w:shd w:val="clear" w:fill="0F766E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Parameter</w:t>
            </w:r>
          </w:p>
        </w:tc>
        <w:tc>
          <w:tcPr>
            <w:tcW w:w="1400" w:type="dxa"/>
            <w:shd w:val="clear" w:fill="0F766E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w="2000" w:type="dxa"/>
            <w:shd w:val="clear" w:fill="0F766E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Default</w:t>
            </w:r>
          </w:p>
        </w:tc>
        <w:tc>
          <w:tcPr>
            <w:tcW w:w="4840" w:type="dxa"/>
            <w:shd w:val="clear" w:fill="0F766E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Description</w:t>
            </w:r>
          </w:p>
        </w:tc>
      </w:tr>
      <w:tr>
        <w:tc>
          <w:tcPr>
            <w:tcW w:w="184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>policy</w:t>
            </w:r>
          </w:p>
        </w:tc>
        <w:tc>
          <w:tcPr>
            <w:tcW w:w="140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>Policy</w:t>
            </w:r>
          </w:p>
        </w:tc>
        <w:tc>
          <w:tcPr>
            <w:tcW w:w="200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>adaptive(500)</w:t>
            </w:r>
          </w:p>
        </w:tc>
        <w:tc>
          <w:tcPr>
            <w:tcW w:w="484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7"/>
              </w:rPr>
              <w:t>Detection policy and warmup window</w:t>
            </w:r>
          </w:p>
        </w:tc>
      </w:tr>
      <w:tr>
        <w:tc>
          <w:tcPr>
            <w:tcW w:w="1840" w:type="dxa"/>
            <w:shd w:val="clear" w:fill="F0FDF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>channels</w:t>
            </w:r>
          </w:p>
        </w:tc>
        <w:tc>
          <w:tcPr>
            <w:tcW w:w="1400" w:type="dxa"/>
            <w:shd w:val="clear" w:fill="F0FDF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>list[str]</w:t>
            </w:r>
          </w:p>
        </w:tc>
        <w:tc>
          <w:tcPr>
            <w:tcW w:w="2000" w:type="dxa"/>
            <w:shd w:val="clear" w:fill="F0FDF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>["latency"]</w:t>
            </w:r>
          </w:p>
        </w:tc>
        <w:tc>
          <w:tcPr>
            <w:tcW w:w="4840" w:type="dxa"/>
            <w:shd w:val="clear" w:fill="F0FDF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7"/>
              </w:rPr>
              <w:t>Signals monitored per request</w:t>
            </w:r>
          </w:p>
        </w:tc>
      </w:tr>
      <w:tr>
        <w:tc>
          <w:tcPr>
            <w:tcW w:w="184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>sink</w:t>
            </w:r>
          </w:p>
        </w:tc>
        <w:tc>
          <w:tcPr>
            <w:tcW w:w="140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>Sink</w:t>
            </w:r>
          </w:p>
        </w:tc>
        <w:tc>
          <w:tcPr>
            <w:tcW w:w="200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>stdout</w:t>
            </w:r>
          </w:p>
        </w:tc>
        <w:tc>
          <w:tcPr>
            <w:tcW w:w="484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7"/>
              </w:rPr>
              <w:t>Where verdicts are emitted</w:t>
            </w:r>
          </w:p>
        </w:tc>
      </w:tr>
      <w:tr>
        <w:tc>
          <w:tcPr>
            <w:tcW w:w="1840" w:type="dxa"/>
            <w:shd w:val="clear" w:fill="F0FDF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>sample_rate</w:t>
            </w:r>
          </w:p>
        </w:tc>
        <w:tc>
          <w:tcPr>
            <w:tcW w:w="1400" w:type="dxa"/>
            <w:shd w:val="clear" w:fill="F0FDF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>float</w:t>
            </w:r>
          </w:p>
        </w:tc>
        <w:tc>
          <w:tcPr>
            <w:tcW w:w="2000" w:type="dxa"/>
            <w:shd w:val="clear" w:fill="F0FDF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>1.0</w:t>
            </w:r>
          </w:p>
        </w:tc>
        <w:tc>
          <w:tcPr>
            <w:tcW w:w="4840" w:type="dxa"/>
            <w:shd w:val="clear" w:fill="F0FDF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7"/>
              </w:rPr>
              <w:t>Fraction of traffic inspected</w:t>
            </w:r>
          </w:p>
        </w:tc>
      </w:tr>
    </w:tbl>
    <w:p>
      <w:pPr>
        <w:spacing w:before="0" w:after="0" w:lineRule="exact" w:line="20"/>
      </w:pPr>
      <w:r>
        <w:br w:type="page"/>
      </w:r>
    </w:p>
    <w:p>
      <w:pPr>
        <w:spacing w:before="0" w:after="0" w:lineRule="exact" w:line="30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1400"/>
        <w:gridCol w:w="2000"/>
        <w:gridCol w:w="4840"/>
      </w:tblGrid>
      <w:tr>
        <w:tc>
          <w:tcPr>
            <w:tcW w:w="184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>fail_open</w:t>
            </w:r>
          </w:p>
        </w:tc>
        <w:tc>
          <w:tcPr>
            <w:tcW w:w="140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>bool</w:t>
            </w:r>
          </w:p>
        </w:tc>
        <w:tc>
          <w:tcPr>
            <w:tcW w:w="200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>True</w:t>
            </w:r>
          </w:p>
        </w:tc>
        <w:tc>
          <w:tcPr>
            <w:tcW w:w="484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0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7"/>
              </w:rPr>
              <w:t>Pass traffic if detector errors</w:t>
            </w:r>
          </w:p>
        </w:tc>
      </w:tr>
    </w:tbl>
    <w:p>
      <w:pPr>
        <w:spacing w:before="88" w:after="0" w:lineRule="exact" w:line="198"/>
        <w:jc w:val="left"/>
      </w:pPr>
      <w:r>
        <w:rPr>
          <w:rFonts w:ascii="Arial" w:hAnsi="Arial" w:cs="Arial" w:eastAsia="Arial"/>
          <w:b w:val="0"/>
          <w:i w:val="0"/>
          <w:color w:val="6B7280"/>
          <w:sz w:val="17"/>
        </w:rPr>
        <w:t>Table 2: Constructor parameters.</w:t>
      </w:r>
    </w:p>
    <w:p>
      <w:pPr>
        <w:keepNext/>
        <w:spacing w:before="430" w:after="0" w:lineRule="exact" w:line="348"/>
        <w:jc w:val="left"/>
        <w:outlineLvl w:val="1"/>
      </w:pPr>
      <w:r>
        <w:rPr>
          <w:rFonts w:ascii="Arial" w:hAnsi="Arial" w:cs="Arial" w:eastAsia="Arial"/>
          <w:b/>
          <w:i w:val="0"/>
          <w:color w:val="0F766E"/>
          <w:sz w:val="30"/>
        </w:rPr>
        <w:t>4. Batched Verdicts</w:t>
      </w:r>
    </w:p>
    <w:p>
      <w:pPr>
        <w:spacing w:before="112" w:after="0" w:lineRule="exact" w:line="300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For high-throughput services, evaluate verdicts asynchronously in batches. The detector coalesces up to </w:t>
      </w:r>
      <w:r>
        <w:rPr>
          <w:rFonts w:ascii="Courier New" w:hAnsi="Courier New" w:cs="Courier New" w:eastAsia="Courier New"/>
          <w:b w:val="0"/>
          <w:i w:val="0"/>
          <w:color w:val="1F2937"/>
          <w:sz w:val="21"/>
        </w:rPr>
        <w:t>max_batch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 requests per tick:</w:t>
      </w:r>
    </w:p>
    <w:p>
      <w:pPr>
        <w:spacing w:before="0" w:after="0" w:lineRule="exact" w:line="18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80"/>
      </w:tblGrid>
      <w:tr>
        <w:tc>
          <w:tcPr>
            <w:tcW w:w="10080" w:type="dxa"/>
            <w:shd w:val="clear" w:fill="F3F4F6"/>
            <w:tcBorders>
              <w:top w:val="nil"/>
              <w:left w:val="single" w:sz="8" w:space="0" w:color="D1D5DB"/>
              <w:bottom w:val="nil"/>
              <w:right w:val="nil"/>
            </w:tcBorders>
            <w:tcMar>
              <w:top w:w="136" w:type="dxa"/>
              <w:left w:w="200" w:type="dxa"/>
              <w:bottom w:w="184" w:type="dxa"/>
              <w:right w:w="80" w:type="dxa"/>
            </w:tcMar>
          </w:tcPr>
          <w:p>
            <w:pPr>
              <w:spacing w:before="0" w:after="0" w:lineRule="exact" w:line="23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>async def pump(queue, detector):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 xml:space="preserve">    while True: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 xml:space="preserve">        batch = await queue.take(max_batch=256, timeout_ms=5)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 xml:space="preserve">        verdicts = detector.evaluate(batch)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 xml:space="preserve">        for v in verdicts.flagged():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 xml:space="preserve">            await quarantine.put(v.request_id)</w:t>
            </w:r>
          </w:p>
        </w:tc>
      </w:tr>
    </w:tbl>
    <w:p>
      <w:pPr>
        <w:spacing w:before="0" w:after="0" w:lineRule="exact" w:line="160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960"/>
      </w:tblGrid>
      <w:tr>
        <w:tc>
          <w:tcPr>
            <w:tcW w:w="9960" w:type="dxa"/>
            <w:shd w:val="clear" w:fill="FEE2E2"/>
            <w:tcBorders>
              <w:top w:val="nil"/>
              <w:left w:val="single" w:sz="24" w:space="0" w:color="DC2626"/>
              <w:bottom w:val="nil"/>
              <w:right w:val="nil"/>
            </w:tcBorders>
            <w:tcMar>
              <w:top w:w="190" w:type="dxa"/>
              <w:left w:w="240" w:type="dxa"/>
              <w:bottom w:w="220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3A5F"/>
                <w:sz w:val="19"/>
              </w:rPr>
              <w:t>Warning:</w:t>
            </w:r>
            <w:r>
              <w:rPr>
                <w:rFonts w:ascii="Arial" w:hAnsi="Arial" w:cs="Arial" w:eastAsia="Arial"/>
                <w:b w:val="0"/>
                <w:i w:val="0"/>
                <w:color w:val="1F2937"/>
                <w:sz w:val="19"/>
              </w:rPr>
              <w:t xml:space="preserve"> Never block the request path on sink I/O. Configure sink=Sink.buffered(...) in production deployments.</w:t>
            </w:r>
          </w:p>
        </w:tc>
      </w:tr>
    </w:tbl>
    <w:p>
      <w:pPr>
        <w:keepNext/>
        <w:spacing w:before="232" w:after="0" w:lineRule="exact" w:line="266"/>
        <w:jc w:val="left"/>
        <w:outlineLvl w:val="2"/>
      </w:pPr>
      <w:r>
        <w:rPr>
          <w:rFonts w:ascii="Arial" w:hAnsi="Arial" w:cs="Arial" w:eastAsia="Arial"/>
          <w:b/>
          <w:i w:val="0"/>
          <w:color w:val="115E59"/>
          <w:sz w:val="23"/>
        </w:rPr>
        <w:t>5. Verdict Lifecycle</w:t>
      </w:r>
    </w:p>
    <w:p>
      <w:pPr>
        <w:spacing w:before="134" w:after="0" w:lineRule="exact" w:line="278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 xml:space="preserve">1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Capture — signals sampled from the live request.</w:t>
      </w:r>
    </w:p>
    <w:p>
      <w:pPr>
        <w:spacing w:before="162" w:after="0" w:lineRule="exact" w:line="278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 xml:space="preserve">2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Score — policy computes an anomaly score per channel.</w:t>
      </w:r>
    </w:p>
    <w:p>
      <w:pPr>
        <w:spacing w:before="162" w:after="0" w:lineRule="exact" w:line="278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 xml:space="preserve">3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Decide — scores fold into a verdict with a confidence bound.</w:t>
      </w:r>
    </w:p>
    <w:p>
      <w:pPr>
        <w:spacing w:before="162" w:after="0" w:lineRule="exact" w:line="278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 xml:space="preserve">4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Emit — verdicts stream to the configured sink.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530" w:right="1205" w:bottom="1266" w:left="1205" w:header="486" w:footer="592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exact" w:line="186"/>
      <w:jc w:val="center"/>
    </w:pPr>
    <w:r>
      <w:rPr>
        <w:rFonts w:ascii="Arial" w:hAnsi="Arial" w:cs="Arial" w:eastAsia="Arial"/>
        <w:b w:val="0"/>
        <w:i w:val="0"/>
        <w:color w:val="6B7280"/>
        <w:sz w:val="16"/>
      </w:rPr>
      <w:t xml:space="preserve">— </w:t>
    </w:r>
    <w:fldSimple w:instr=" PAGE ">
      <w:r>
        <w:rPr>
          <w:rFonts w:ascii="Arial" w:hAnsi="Arial" w:cs="Arial" w:eastAsia="Arial"/>
          <w:b w:val="0"/>
          <w:i w:val="0"/>
          <w:color w:val="6B7280"/>
          <w:sz w:val="16"/>
        </w:rPr>
        <w:t>1</w:t>
      </w:r>
    </w:fldSimple>
    <w:r>
      <w:rPr>
        <w:rFonts w:ascii="Arial" w:hAnsi="Arial" w:cs="Arial" w:eastAsia="Arial"/>
        <w:b w:val="0"/>
        <w:i w:val="0"/>
        <w:color w:val="6B7280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30" w:val="right"/>
      </w:tabs>
      <w:spacing w:before="0" w:after="0" w:lineRule="exact" w:line="208"/>
      <w:jc w:val="left"/>
      <w:pBdr>
        <w:top w:val="nil"/>
        <w:left w:val="nil"/>
        <w:bottom w:val="single" w:sz="16" w:space="3" w:color="0F766E"/>
        <w:right w:val="nil"/>
      </w:pBdr>
    </w:pPr>
    <w:r>
      <w:rPr>
        <w:rFonts w:ascii="Arial" w:hAnsi="Arial" w:cs="Arial" w:eastAsia="Arial"/>
        <w:b/>
        <w:i w:val="0"/>
        <w:color w:val="0F766E"/>
        <w:sz w:val="18"/>
      </w:rPr>
      <w:t>SENTINEL SDK</w:t>
    </w:r>
    <w:r>
      <w:rPr>
        <w:rFonts w:ascii="Arial" w:hAnsi="Arial" w:cs="Arial" w:eastAsia="Arial"/>
        <w:b w:val="0"/>
        <w:i w:val="0"/>
        <w:color w:val="6B7280"/>
        <w:sz w:val="18"/>
      </w:rPr>
      <w:tab/>
    </w:r>
    <w:r>
      <w:rPr>
        <w:rFonts w:ascii="Arial" w:hAnsi="Arial" w:cs="Arial" w:eastAsia="Arial"/>
        <w:b w:val="0"/>
        <w:i w:val="0"/>
        <w:color w:val="6B7280"/>
        <w:sz w:val="18"/>
      </w:rPr>
      <w:t>v</w:t>
    </w:r>
    <w:r>
      <w:rPr>
        <w:rFonts w:ascii="Arial" w:hAnsi="Arial" w:cs="Arial" w:eastAsia="Arial"/>
        <w:b w:val="0"/>
        <w:i w:val="0"/>
        <w:color w:val="6B7280"/>
        <w:sz w:val="18"/>
      </w:rPr>
      <w:t>3</w:t>
    </w:r>
    <w:r>
      <w:rPr>
        <w:rFonts w:ascii="Arial" w:hAnsi="Arial" w:cs="Arial" w:eastAsia="Arial"/>
        <w:b w:val="0"/>
        <w:i w:val="0"/>
        <w:color w:val="6B7280"/>
        <w:sz w:val="18"/>
      </w:rPr>
      <w:t>.</w:t>
    </w:r>
    <w:r>
      <w:rPr>
        <w:rFonts w:ascii="Arial" w:hAnsi="Arial" w:cs="Arial" w:eastAsia="Arial"/>
        <w:b w:val="0"/>
        <w:i w:val="0"/>
        <w:color w:val="6B7280"/>
        <w:sz w:val="18"/>
      </w:rPr>
      <w:t>2</w:t>
    </w:r>
    <w:r>
      <w:rPr>
        <w:rFonts w:ascii="Arial" w:hAnsi="Arial" w:cs="Arial" w:eastAsia="Arial"/>
        <w:b w:val="0"/>
        <w:i w:val="0"/>
        <w:color w:val="6B7280"/>
        <w:sz w:val="18"/>
      </w:rPr>
      <w:t xml:space="preserve"> — July </w:t>
    </w:r>
    <w:r>
      <w:rPr>
        <w:rFonts w:ascii="Arial" w:hAnsi="Arial" w:cs="Arial" w:eastAsia="Arial"/>
        <w:b w:val="0"/>
        <w:i w:val="0"/>
        <w:color w:val="6B7280"/>
        <w:sz w:val="18"/>
      </w:rPr>
      <w:t>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