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left"/>
        <w:tblLook w:firstColumn="1" w:firstRow="1" w:lastColumn="0" w:lastRow="0" w:noHBand="0" w:noVBand="1" w:val="04A0"/>
        <w:tblLayout w:type="fixed"/>
        <w:tblW w:w="12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080"/>
      </w:tblGrid>
      <w:tr>
        <w:tc>
          <w:tcPr>
            <w:tcW w:w="12080" w:type="dxa"/>
            <w:shd w:val="clear" w:fill="1E3A5F"/>
            <w:tcBorders>
              <w:top w:val="nil"/>
              <w:left w:val="nil"/>
              <w:bottom w:val="single" w:sz="32" w:space="0" w:color="F59E0B"/>
              <w:right w:val="nil"/>
            </w:tcBorders>
            <w:tcMar>
              <w:top w:w="0" w:type="dxa"/>
              <w:left w:w="1134" w:type="dxa"/>
              <w:bottom w:w="480" w:type="dxa"/>
              <w:right w:w="0" w:type="dxa"/>
            </w:tcMar>
          </w:tcPr>
          <w:p>
            <w:pPr>
              <w:spacing w:before="1364" w:after="0" w:lineRule="exact" w:line="58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50"/>
              </w:rPr>
              <w:t>The Economics of Tiered AI Inference</w:t>
            </w:r>
          </w:p>
          <w:p>
            <w:pPr>
              <w:spacing w:before="138" w:after="0" w:lineRule="exact" w:line="29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BFDBFE"/>
                <w:sz w:val="25"/>
              </w:rPr>
              <w:t>A Meridian Analytics Whitepaper</w:t>
            </w:r>
          </w:p>
          <w:p>
            <w:pPr>
              <w:spacing w:before="406" w:after="0" w:lineRule="exact" w:line="22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93C5FD"/>
                <w:sz w:val="19"/>
              </w:rPr>
              <w:t>July 2026 | Research Division | meridian-analytics.example.com</w:t>
            </w:r>
          </w:p>
        </w:tc>
      </w:tr>
    </w:tbl>
    <w:p>
      <w:pPr>
        <w:keepNext/>
        <w:spacing w:before="736" w:after="0" w:lineRule="exact" w:line="372"/>
        <w:ind w:left="1144" w:right="1128"/>
        <w:jc w:val="left"/>
        <w:outlineLvl w:val="0"/>
      </w:pPr>
      <w:r>
        <w:rPr>
          <w:rFonts w:ascii="Arial" w:hAnsi="Arial" w:cs="Arial" w:eastAsia="Arial"/>
          <w:b/>
          <w:i w:val="0"/>
          <w:color w:val="1E3A5F"/>
          <w:sz w:val="32"/>
        </w:rPr>
        <w:t>Executive Summary</w:t>
      </w:r>
    </w:p>
    <w:p>
      <w:pPr>
        <w:spacing w:before="172" w:after="0" w:lineRule="exact" w:line="40"/>
        <w:ind w:left="1134" w:right="1066"/>
        <w:pBdr>
          <w:top w:val="nil"/>
          <w:left w:val="nil"/>
          <w:bottom w:val="single" w:sz="8" w:space="0" w:color="E5E7EB"/>
          <w:right w:val="nil"/>
        </w:pBdr>
      </w:pPr>
      <w:r>
        <w:rPr>
          <w:sz w:val="2"/>
        </w:rPr>
      </w:r>
    </w:p>
    <w:p>
      <w:pPr>
        <w:spacing w:before="134" w:after="0" w:lineRule="exact" w:line="300"/>
        <w:ind w:left="1134" w:right="1128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Modern inference workloads exhibit sharply bimodal traffic patterns, with sustained baseline demand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punctuated by bursts that exceed steady-state volume by an order of magnitude. Provisioning for peak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wastes capacity; provisioning for baseline degrades latency guarantees precisely when demand is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highest. Organizations that adopt a tiered execution fabric report materially better cost curves than those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scaling monolithic clusters, because scheduling decisions can exploit heterogeneity in both hardware and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request criticality. This paper introduces a cost model that treats inference capacity as a portfolio rather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than a pipeline.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The remainder of this document quantifies these effects across three deployment archetypes and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proposes an adoption sequence that minimizes migration risk while preserving existing service level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objectives. Readers responsible for capacity planning should focus on Sections 2 and 4; readers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responsible for procurement should focus on Section 3.</w:t>
      </w:r>
    </w:p>
    <w:p>
      <w:pPr>
        <w:spacing w:before="0" w:after="0" w:lineRule="exact" w:line="44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960" w:type="dxa"/>
        <w:tblInd w:w="11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960"/>
      </w:tblGrid>
      <w:tr>
        <w:tc>
          <w:tcPr>
            <w:tcW w:w="9960" w:type="dxa"/>
            <w:shd w:val="clear" w:fill="EFF6FF"/>
            <w:tcBorders>
              <w:top w:val="nil"/>
              <w:left w:val="single" w:sz="24" w:space="0" w:color="2563EB"/>
              <w:bottom w:val="nil"/>
              <w:right w:val="nil"/>
            </w:tcBorders>
            <w:tcMar>
              <w:top w:w="142" w:type="dxa"/>
              <w:left w:w="248" w:type="dxa"/>
              <w:bottom w:w="218" w:type="dxa"/>
              <w:right w:w="80" w:type="dxa"/>
            </w:tcMar>
          </w:tcPr>
          <w:p>
            <w:pPr>
              <w:spacing w:before="0" w:after="0" w:lineRule="exact" w:line="28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3A5F"/>
                <w:sz w:val="20"/>
              </w:rPr>
              <w:t>Key Insight:</w:t>
            </w:r>
            <w:r>
              <w:rPr>
                <w:rFonts w:ascii="Arial" w:hAnsi="Arial" w:cs="Arial" w:eastAsia="Arial"/>
                <w:b w:val="0"/>
                <w:i w:val="0"/>
                <w:color w:val="1F2937"/>
                <w:sz w:val="20"/>
              </w:rPr>
              <w:t xml:space="preserve"> Across the 41 organizations surveyed, tiered inference reduced cost per thousand requests by </w:t>
            </w:r>
            <w:r>
              <w:rPr>
                <w:rFonts w:ascii="Arial" w:hAnsi="Arial" w:cs="Arial" w:eastAsia="Arial"/>
                <w:b w:val="0"/>
                <w:i w:val="0"/>
                <w:color w:val="1F2937"/>
                <w:sz w:val="20"/>
              </w:rPr>
              <w:t>a median of 38% while improving p99 latency by 22%.</w:t>
            </w:r>
          </w:p>
        </w:tc>
      </w:tr>
    </w:tbl>
    <w:p>
      <w:pPr>
        <w:keepNext/>
        <w:spacing w:before="376" w:after="0" w:lineRule="exact" w:line="372"/>
        <w:ind w:left="1146" w:right="1128"/>
        <w:jc w:val="left"/>
        <w:outlineLvl w:val="0"/>
      </w:pPr>
      <w:r>
        <w:rPr>
          <w:rFonts w:ascii="Arial" w:hAnsi="Arial" w:cs="Arial" w:eastAsia="Arial"/>
          <w:b/>
          <w:i w:val="0"/>
          <w:color w:val="1E3A5F"/>
          <w:sz w:val="32"/>
        </w:rPr>
        <w:t>1. Market Context</w:t>
      </w:r>
    </w:p>
    <w:p>
      <w:pPr>
        <w:spacing w:before="126" w:after="0" w:lineRule="exact" w:line="300"/>
        <w:ind w:left="1134" w:right="1128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Modern inference workloads exhibit sharply bimodal traffic patterns, with sustained baseline demand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punctuated by bursts that exceed steady-state volume by an order of magnitude. Provisioning for peak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wastes capacity; provisioning for baseline degrades latency guarantees precisely when demand is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highest. Vendors have responded with a proliferation of accelerator classes, each optimized for a different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point on the latency-throughput frontier.</w:t>
      </w:r>
    </w:p>
    <w:p>
      <w:pPr>
        <w:spacing w:before="308" w:after="0" w:lineRule="exact" w:line="300"/>
        <w:ind w:left="1134" w:right="1128"/>
        <w:jc w:val="left"/>
      </w:pPr>
      <w:r>
        <w:rPr>
          <w:rFonts w:ascii="Arial" w:hAnsi="Arial" w:cs="Arial" w:eastAsia="Arial"/>
          <w:b/>
          <w:i w:val="0"/>
          <w:color w:val="2563EB"/>
          <w:sz w:val="25"/>
        </w:rPr>
        <w:t xml:space="preserve">1.1 Demand-side dynamics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Organizations that adopt a tiered execution fabric report materially better cost curves than those scaling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monolithic clusters, because scheduling decisions can exploit heterogeneity in both hardware and request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criticality. Buyers increasingly negotiate committed-use discounts against a blended fleet rather than a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single instance family.</w:t>
      </w:r>
    </w:p>
    <w:p>
      <w:pPr>
        <w:tabs>
          <w:tab w:pos="1496" w:val="left"/>
        </w:tabs>
        <w:spacing w:before="310" w:after="0" w:lineRule="exact" w:line="278"/>
        <w:ind w:left="1496" w:hanging="362" w:right="1128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Arial" w:hAnsi="Arial" w:cs="Arial" w:eastAsia="Arial"/>
          <w:b w:val="0"/>
          <w:i w:val="0"/>
          <w:color w:val="1F2937"/>
          <w:sz w:val="21"/>
        </w:rPr>
        <w:t>Baseline traffic grows 3.1 × year over year in our panel, while peak-to-baseline ratios remain near 9:1 .</w:t>
      </w:r>
    </w:p>
    <w:p>
      <w:pPr>
        <w:sectPr>
          <w:footerReference w:type="default" r:id="rId9"/>
          <w:pgSz w:w="12240" w:h="15840"/>
          <w:pgMar w:top="0" w:right="80" w:bottom="1150" w:left="80" w:header="0" w:footer="646" w:gutter="0"/>
          <w:cols w:num="1"/>
          <w:docGrid w:linePitch="360"/>
        </w:sectPr>
        <w:spacing w:before="0" w:after="0" w:line="20" w:lineRule="exact"/>
      </w:pPr>
    </w:p>
    <w:p>
      <w:pPr>
        <w:tabs>
          <w:tab w:pos="362" w:val="left"/>
        </w:tabs>
        <w:spacing w:before="0" w:after="0" w:lineRule="exact" w:line="278"/>
        <w:ind w:left="362" w:hanging="362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Arial" w:hAnsi="Arial" w:cs="Arial" w:eastAsia="Arial"/>
          <w:b w:val="0"/>
          <w:i w:val="0"/>
          <w:color w:val="1F2937"/>
          <w:sz w:val="21"/>
        </w:rPr>
        <w:t>Latency-sensitive requests represent 17% of volume but 44% of infrastructure spend.</w:t>
      </w:r>
    </w:p>
    <w:p>
      <w:pPr>
        <w:tabs>
          <w:tab w:pos="362" w:val="left"/>
        </w:tabs>
        <w:spacing w:before="182" w:after="0" w:lineRule="exact" w:line="278"/>
        <w:ind w:left="362" w:hanging="362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Arial" w:hAnsi="Arial" w:cs="Arial" w:eastAsia="Arial"/>
          <w:b w:val="0"/>
          <w:i w:val="0"/>
          <w:color w:val="1F2937"/>
          <w:sz w:val="21"/>
        </w:rPr>
        <w:t>Batch-tolerant workloads are the fastest-growing segment, at 58% year over year.</w:t>
      </w:r>
    </w:p>
    <w:p>
      <w:pPr>
        <w:spacing w:before="452" w:after="0" w:lineRule="exact" w:line="400"/>
        <w:jc w:val="left"/>
      </w:pPr>
      <w:r>
        <w:rPr>
          <w:rFonts w:ascii="Arial" w:hAnsi="Arial" w:cs="Arial" w:eastAsia="Arial"/>
          <w:b/>
          <w:i w:val="0"/>
          <w:color w:val="2563EB"/>
          <w:sz w:val="25"/>
        </w:rPr>
        <w:t xml:space="preserve">1.2 Supply-side response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Accelerator roadmaps now bifurcate into throughput-optimized and latency-optimized lines. The table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below summarizes list pricing normalized to a common benchmark unit.</w:t>
      </w:r>
    </w:p>
    <w:p>
      <w:pPr>
        <w:spacing w:before="0" w:after="0" w:lineRule="exact" w:line="178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2600"/>
        <w:gridCol w:w="1700"/>
        <w:gridCol w:w="1600"/>
        <w:gridCol w:w="2780"/>
      </w:tblGrid>
      <w:tr>
        <w:tc>
          <w:tcPr>
            <w:tcW w:w="1400" w:type="dxa"/>
            <w:shd w:val="clear" w:fill="1E3A5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4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 xml:space="preserve">Tier </w:t>
            </w:r>
          </w:p>
        </w:tc>
        <w:tc>
          <w:tcPr>
            <w:tcW w:w="2600" w:type="dxa"/>
            <w:shd w:val="clear" w:fill="1E3A5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74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 xml:space="preserve">Hardware class </w:t>
            </w:r>
          </w:p>
        </w:tc>
        <w:tc>
          <w:tcPr>
            <w:tcW w:w="1700" w:type="dxa"/>
            <w:shd w:val="clear" w:fill="1E3A5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8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 xml:space="preserve">Cost / 1K req </w:t>
            </w:r>
          </w:p>
        </w:tc>
        <w:tc>
          <w:tcPr>
            <w:tcW w:w="1600" w:type="dxa"/>
            <w:shd w:val="clear" w:fill="1E3A5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72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 xml:space="preserve">p99 latency </w:t>
            </w:r>
          </w:p>
        </w:tc>
        <w:tc>
          <w:tcPr>
            <w:tcW w:w="2780" w:type="dxa"/>
            <w:shd w:val="clear" w:fill="1E3A5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74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Best fit</w:t>
            </w:r>
          </w:p>
        </w:tc>
      </w:tr>
      <w:tr>
        <w:tc>
          <w:tcPr>
            <w:tcW w:w="140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74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 xml:space="preserve">Realtime </w:t>
            </w:r>
          </w:p>
        </w:tc>
        <w:tc>
          <w:tcPr>
            <w:tcW w:w="260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74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 xml:space="preserve">Latency-optimized </w:t>
            </w:r>
          </w:p>
        </w:tc>
        <w:tc>
          <w:tcPr>
            <w:tcW w:w="170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6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 xml:space="preserve">$4.20 </w:t>
            </w:r>
          </w:p>
        </w:tc>
        <w:tc>
          <w:tcPr>
            <w:tcW w:w="160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80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 xml:space="preserve">180 ms </w:t>
            </w:r>
          </w:p>
        </w:tc>
        <w:tc>
          <w:tcPr>
            <w:tcW w:w="278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76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Interactive agents</w:t>
            </w:r>
          </w:p>
        </w:tc>
      </w:tr>
      <w:tr>
        <w:tc>
          <w:tcPr>
            <w:tcW w:w="140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8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 xml:space="preserve">Standard </w:t>
            </w:r>
          </w:p>
        </w:tc>
        <w:tc>
          <w:tcPr>
            <w:tcW w:w="260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74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 xml:space="preserve">Balanced </w:t>
            </w:r>
          </w:p>
        </w:tc>
        <w:tc>
          <w:tcPr>
            <w:tcW w:w="170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6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 xml:space="preserve">$1 .85 </w:t>
            </w:r>
          </w:p>
        </w:tc>
        <w:tc>
          <w:tcPr>
            <w:tcW w:w="160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6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 xml:space="preserve">650 ms </w:t>
            </w:r>
          </w:p>
        </w:tc>
        <w:tc>
          <w:tcPr>
            <w:tcW w:w="278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0" w:type="dxa"/>
              <w:bottom w:w="142" w:type="dxa"/>
              <w:right w:w="4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API workloads</w:t>
            </w:r>
          </w:p>
        </w:tc>
      </w:tr>
      <w:tr>
        <w:tc>
          <w:tcPr>
            <w:tcW w:w="140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74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 xml:space="preserve">Batch </w:t>
            </w:r>
          </w:p>
        </w:tc>
        <w:tc>
          <w:tcPr>
            <w:tcW w:w="260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4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 xml:space="preserve">Throughput-optimized </w:t>
            </w:r>
          </w:p>
        </w:tc>
        <w:tc>
          <w:tcPr>
            <w:tcW w:w="170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6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 xml:space="preserve">$0.62 </w:t>
            </w:r>
          </w:p>
        </w:tc>
        <w:tc>
          <w:tcPr>
            <w:tcW w:w="160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8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 xml:space="preserve">8 s </w:t>
            </w:r>
          </w:p>
        </w:tc>
        <w:tc>
          <w:tcPr>
            <w:tcW w:w="2780" w:type="dxa"/>
            <w:shd w:val="clear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8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Offline enrichment</w:t>
            </w:r>
          </w:p>
        </w:tc>
      </w:tr>
      <w:tr>
        <w:tc>
          <w:tcPr>
            <w:tcW w:w="140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8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 xml:space="preserve">Spot </w:t>
            </w:r>
          </w:p>
        </w:tc>
        <w:tc>
          <w:tcPr>
            <w:tcW w:w="260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74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 xml:space="preserve">Preemptible mix </w:t>
            </w:r>
          </w:p>
        </w:tc>
        <w:tc>
          <w:tcPr>
            <w:tcW w:w="170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66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 xml:space="preserve">$0.31 </w:t>
            </w:r>
          </w:p>
        </w:tc>
        <w:tc>
          <w:tcPr>
            <w:tcW w:w="160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72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 xml:space="preserve">best effort </w:t>
            </w:r>
          </w:p>
        </w:tc>
        <w:tc>
          <w:tcPr>
            <w:tcW w:w="2780" w:type="dxa"/>
            <w:shd w:val="clear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8" w:type="dxa"/>
              <w:left w:w="174" w:type="dxa"/>
              <w:bottom w:w="14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2937"/>
                <w:sz w:val="18"/>
              </w:rPr>
              <w:t>Experimentation</w:t>
            </w:r>
          </w:p>
        </w:tc>
      </w:tr>
    </w:tbl>
    <w:p>
      <w:pPr>
        <w:spacing w:before="88" w:after="0" w:lineRule="exact" w:line="198"/>
        <w:jc w:val="left"/>
      </w:pPr>
      <w:r>
        <w:rPr>
          <w:rFonts w:ascii="Arial" w:hAnsi="Arial" w:cs="Arial" w:eastAsia="Arial"/>
          <w:b w:val="0"/>
          <w:i w:val="0"/>
          <w:color w:val="6B7280"/>
          <w:sz w:val="17"/>
        </w:rPr>
        <w:t>Table 1 : Normalized pricing across inference tiers, June 2026 list prices.</w:t>
      </w:r>
    </w:p>
    <w:p>
      <w:pPr>
        <w:keepNext/>
        <w:spacing w:before="470" w:after="0" w:lineRule="exact" w:line="372"/>
        <w:jc w:val="left"/>
        <w:outlineLvl w:val="0"/>
      </w:pPr>
      <w:r>
        <w:rPr>
          <w:rFonts w:ascii="Arial" w:hAnsi="Arial" w:cs="Arial" w:eastAsia="Arial"/>
          <w:b/>
          <w:i w:val="0"/>
          <w:color w:val="1E3A5F"/>
          <w:sz w:val="32"/>
        </w:rPr>
        <w:t>2. Cost Model</w:t>
      </w:r>
    </w:p>
    <w:p>
      <w:pPr>
        <w:spacing w:before="126" w:after="0" w:lineRule="exact" w:line="300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We model total cost as the sum of tier-level commitments plus overflow penalties. Fleet growth under the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tiered strategy is shown below.</w:t>
      </w:r>
    </w:p>
    <w:p>
      <w:pPr>
        <w:spacing w:before="394" w:after="0" w:lineRule="atLeast" w:line="3446"/>
        <w:ind w:left="528"/>
        <w:jc w:val="left"/>
      </w:pPr>
      <w:r>
        <w:drawing>
          <wp:inline xmlns:a="http://schemas.openxmlformats.org/drawingml/2006/main" xmlns:pic="http://schemas.openxmlformats.org/drawingml/2006/picture">
            <wp:extent cx="4898554" cy="2188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8554" cy="218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48" w:after="0" w:lineRule="exact" w:line="300"/>
        <w:jc w:val="left"/>
      </w:pPr>
      <w:r>
        <w:rPr>
          <w:rFonts w:ascii="Arial" w:hAnsi="Arial" w:cs="Arial" w:eastAsia="Arial"/>
          <w:b/>
          <w:i w:val="0"/>
          <w:color w:val="2563EB"/>
          <w:sz w:val="25"/>
        </w:rPr>
        <w:t xml:space="preserve">2.1 Sensitivity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Organizations that adopt a tiered execution fabric report materially better cost curves than those scaling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monolithic clusters, because scheduling decisions can exploit heterogeneity in both hardware and request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criticality. Sensitivity analysis indicates the crossover point sits near 41 % batch-tolerant share for typical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enterprise mixes.</w:t>
      </w:r>
    </w:p>
    <w:p>
      <w:pPr>
        <w:spacing w:before="0" w:after="0" w:lineRule="exact" w:line="20"/>
      </w:pPr>
      <w:r>
        <w:br w:type="page"/>
      </w:r>
    </w:p>
    <w:p>
      <w:pPr>
        <w:spacing w:before="0" w:after="0" w:lineRule="exact" w:line="244"/>
        <w:ind w:left="364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Estimate the batch-tolerant share of current traffic.</w:t>
      </w:r>
    </w:p>
    <w:p>
      <w:pPr>
        <w:spacing w:before="0" w:after="0" w:lineRule="exact" w:line="278"/>
        <w:ind w:left="12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 xml:space="preserve">1 </w:t>
      </w:r>
    </w:p>
    <w:p>
      <w:pPr>
        <w:spacing w:before="180" w:after="0" w:lineRule="exact" w:line="244"/>
        <w:ind w:left="362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Negotiate committed use only for the realtime tier.</w:t>
      </w:r>
    </w:p>
    <w:p>
      <w:pPr>
        <w:spacing w:before="0" w:after="0" w:lineRule="exact" w:line="278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 xml:space="preserve">2 </w:t>
      </w:r>
    </w:p>
    <w:p>
      <w:pPr>
        <w:spacing w:before="180" w:after="0" w:lineRule="exact" w:line="244"/>
        <w:ind w:left="364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Route overflow to spot capacity with graceful degradation.</w:t>
      </w:r>
    </w:p>
    <w:p>
      <w:pPr>
        <w:spacing w:before="0" w:after="0" w:lineRule="exact" w:line="278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 xml:space="preserve">3 </w:t>
      </w:r>
    </w:p>
    <w:p>
      <w:pPr>
        <w:spacing w:before="180" w:after="0" w:lineRule="exact" w:line="244"/>
        <w:ind w:left="364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Re-evaluate the mix quarterly against observed telemetry.</w:t>
      </w:r>
    </w:p>
    <w:p>
      <w:pPr>
        <w:spacing w:before="0" w:after="0" w:lineRule="exact" w:line="278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 xml:space="preserve">4 </w:t>
      </w:r>
    </w:p>
    <w:p>
      <w:pPr>
        <w:spacing w:before="0" w:after="0" w:lineRule="exact" w:line="290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960"/>
      </w:tblGrid>
      <w:tr>
        <w:tc>
          <w:tcPr>
            <w:tcW w:w="9960" w:type="dxa"/>
            <w:shd w:val="clear" w:fill="FEF3C7"/>
            <w:tcBorders>
              <w:top w:val="nil"/>
              <w:left w:val="single" w:sz="24" w:space="0" w:color="F59E0B"/>
              <w:bottom w:val="nil"/>
              <w:right w:val="nil"/>
            </w:tcBorders>
            <w:tcMar>
              <w:top w:w="142" w:type="dxa"/>
              <w:left w:w="240" w:type="dxa"/>
              <w:bottom w:w="218" w:type="dxa"/>
              <w:right w:w="80" w:type="dxa"/>
            </w:tcMar>
          </w:tcPr>
          <w:p>
            <w:pPr>
              <w:spacing w:before="0" w:after="0" w:lineRule="exact" w:line="28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E3A5F"/>
                <w:sz w:val="20"/>
              </w:rPr>
              <w:t>Risk:</w:t>
            </w:r>
            <w:r>
              <w:rPr>
                <w:rFonts w:ascii="Arial" w:hAnsi="Arial" w:cs="Arial" w:eastAsia="Arial"/>
                <w:b w:val="0"/>
                <w:i w:val="0"/>
                <w:color w:val="1F2937"/>
                <w:sz w:val="20"/>
              </w:rPr>
              <w:t xml:space="preserve"> Committed-use discounts applied to the wrong tier are the single largest source of waste we observed </w:t>
            </w:r>
            <w:r>
              <w:rPr>
                <w:rFonts w:ascii="Arial" w:hAnsi="Arial" w:cs="Arial" w:eastAsia="Arial"/>
                <w:b w:val="0"/>
                <w:i w:val="0"/>
                <w:color w:val="1F2937"/>
                <w:sz w:val="20"/>
              </w:rPr>
              <w:t>— median overspend of $2.4M annually.</w:t>
            </w:r>
          </w:p>
        </w:tc>
      </w:tr>
    </w:tbl>
    <w:p>
      <w:pPr>
        <w:keepNext/>
        <w:spacing w:before="376" w:after="0" w:lineRule="exact" w:line="372"/>
        <w:jc w:val="left"/>
        <w:outlineLvl w:val="0"/>
      </w:pPr>
      <w:r>
        <w:rPr>
          <w:rFonts w:ascii="Arial" w:hAnsi="Arial" w:cs="Arial" w:eastAsia="Arial"/>
          <w:b/>
          <w:i w:val="0"/>
          <w:color w:val="1E3A5F"/>
          <w:sz w:val="32"/>
        </w:rPr>
        <w:t>3. Procurement Playbook</w:t>
      </w:r>
    </w:p>
    <w:p>
      <w:pPr>
        <w:spacing w:before="126" w:after="0" w:lineRule="exact" w:line="300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The remainder of this document quantifies these effects across three deployment archetypes and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proposes an adoption sequence that minimizes migration risk while preserving existing service level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objectives. A worked example with editable assumptions is available at</w:t>
      </w:r>
    </w:p>
    <w:p>
      <w:pPr>
        <w:spacing w:before="0" w:after="0" w:lineRule="exact" w:line="300"/>
        <w:jc w:val="left"/>
      </w:pPr>
      <w:r>
        <w:rPr>
          <w:rFonts w:ascii="Arial" w:hAnsi="Arial" w:cs="Arial" w:eastAsia="Arial"/>
          <w:b w:val="0"/>
          <w:i w:val="0"/>
          <w:color w:val="2563EB"/>
          <w:sz w:val="21"/>
          <w:u w:val="single"/>
        </w:rPr>
        <w:t>meridian-analytics.example.com/models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.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Modern inference workloads exhibit sharply bimodal traffic patterns, with sustained baseline demand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punctuated by bursts that exceed steady-state volume by an order of magnitude. Provisioning for peak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wastes capacity; provisioning for baseline degrades latency guarantees precisely when demand is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highest. Organizations that adopt a tiered execution fabric report materially better cost curves than those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scaling monolithic clusters, because scheduling decisions can exploit heterogeneity in both hardware and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request criticality.</w:t>
      </w:r>
    </w:p>
    <w:p>
      <w:pPr>
        <w:keepNext/>
        <w:spacing w:before="582" w:after="0" w:lineRule="exact" w:line="372"/>
        <w:jc w:val="left"/>
        <w:outlineLvl w:val="0"/>
      </w:pPr>
      <w:r>
        <w:rPr>
          <w:rFonts w:ascii="Arial" w:hAnsi="Arial" w:cs="Arial" w:eastAsia="Arial"/>
          <w:b/>
          <w:i w:val="0"/>
          <w:color w:val="1E3A5F"/>
          <w:sz w:val="32"/>
        </w:rPr>
        <w:t>4. Conclusion</w:t>
      </w:r>
    </w:p>
    <w:p>
      <w:pPr>
        <w:spacing w:before="126" w:after="0" w:lineRule="exact" w:line="300"/>
        <w:jc w:val="both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Treating inference as a portfolio converts an infrastructure argument into a financial one. The remainder of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this document quantifies these effects across three deployment archetypes and proposes an adoption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sequence that minimizes migration risk while preserving existing service level objectives.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220" w:right="1208" w:bottom="1150" w:left="1214" w:header="0" w:footer="646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952" w:val="right"/>
      </w:tabs>
      <w:spacing w:before="0" w:after="0" w:lineRule="exact" w:line="186"/>
      <w:ind w:left="1134" w:right="1128"/>
      <w:jc w:val="left"/>
      <w:pBdr>
        <w:top w:val="single" w:sz="5" w:space="4" w:color="D1D5DB"/>
        <w:left w:val="nil"/>
        <w:bottom w:val="nil"/>
        <w:right w:val="nil"/>
      </w:pBdr>
    </w:pPr>
    <w:r>
      <w:rPr>
        <w:rFonts w:ascii="Arial" w:hAnsi="Arial" w:cs="Arial" w:eastAsia="Arial"/>
        <w:b w:val="0"/>
        <w:i w:val="0"/>
        <w:color w:val="6B7280"/>
        <w:sz w:val="16"/>
      </w:rPr>
      <w:t xml:space="preserve">© </w:t>
    </w:r>
    <w:r>
      <w:rPr>
        <w:rFonts w:ascii="Arial" w:hAnsi="Arial" w:cs="Arial" w:eastAsia="Arial"/>
        <w:b w:val="0"/>
        <w:i w:val="0"/>
        <w:color w:val="6B7280"/>
        <w:sz w:val="16"/>
      </w:rPr>
      <w:t>2026</w:t>
    </w:r>
    <w:r>
      <w:rPr>
        <w:rFonts w:ascii="Arial" w:hAnsi="Arial" w:cs="Arial" w:eastAsia="Arial"/>
        <w:b w:val="0"/>
        <w:i w:val="0"/>
        <w:color w:val="6B7280"/>
        <w:sz w:val="16"/>
      </w:rPr>
      <w:t xml:space="preserve"> Meridian Analytics — Confidential </w:t>
    </w:r>
    <w:r>
      <w:rPr>
        <w:rFonts w:ascii="Arial" w:hAnsi="Arial" w:cs="Arial" w:eastAsia="Arial"/>
        <w:b w:val="0"/>
        <w:i w:val="0"/>
        <w:color w:val="6B7280"/>
        <w:sz w:val="16"/>
      </w:rPr>
      <w:tab/>
    </w:r>
    <w:r>
      <w:rPr>
        <w:rFonts w:ascii="Arial" w:hAnsi="Arial" w:cs="Arial" w:eastAsia="Arial"/>
        <w:b w:val="0"/>
        <w:i w:val="0"/>
        <w:color w:val="6B7280"/>
        <w:sz w:val="16"/>
      </w:rPr>
      <w:t xml:space="preserve">Page </w:t>
    </w:r>
    <w:fldSimple w:instr=" PAGE ">
      <w:r>
        <w:rPr>
          <w:rFonts w:ascii="Arial" w:hAnsi="Arial" w:cs="Arial" w:eastAsia="Arial"/>
          <w:b w:val="0"/>
          <w:i w:val="0"/>
          <w:color w:val="6B7280"/>
          <w:sz w:val="16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18" w:val="right"/>
      </w:tabs>
      <w:spacing w:before="0" w:after="0" w:lineRule="exact" w:line="186"/>
      <w:jc w:val="left"/>
      <w:pBdr>
        <w:top w:val="single" w:sz="5" w:space="4" w:color="D1D5DB"/>
        <w:left w:val="nil"/>
        <w:bottom w:val="nil"/>
        <w:right w:val="nil"/>
      </w:pBdr>
    </w:pPr>
    <w:r>
      <w:rPr>
        <w:rFonts w:ascii="Arial" w:hAnsi="Arial" w:cs="Arial" w:eastAsia="Arial"/>
        <w:b w:val="0"/>
        <w:i w:val="0"/>
        <w:color w:val="6B7280"/>
        <w:sz w:val="16"/>
      </w:rPr>
      <w:t xml:space="preserve">© </w:t>
    </w:r>
    <w:r>
      <w:rPr>
        <w:rFonts w:ascii="Arial" w:hAnsi="Arial" w:cs="Arial" w:eastAsia="Arial"/>
        <w:b w:val="0"/>
        <w:i w:val="0"/>
        <w:color w:val="6B7280"/>
        <w:sz w:val="16"/>
      </w:rPr>
      <w:t>2026</w:t>
    </w:r>
    <w:r>
      <w:rPr>
        <w:rFonts w:ascii="Arial" w:hAnsi="Arial" w:cs="Arial" w:eastAsia="Arial"/>
        <w:b w:val="0"/>
        <w:i w:val="0"/>
        <w:color w:val="6B7280"/>
        <w:sz w:val="16"/>
      </w:rPr>
      <w:t xml:space="preserve"> Meridian Analytics — Confidential </w:t>
    </w:r>
    <w:r>
      <w:rPr>
        <w:rFonts w:ascii="Arial" w:hAnsi="Arial" w:cs="Arial" w:eastAsia="Arial"/>
        <w:b w:val="0"/>
        <w:i w:val="0"/>
        <w:color w:val="6B7280"/>
        <w:sz w:val="16"/>
      </w:rPr>
      <w:tab/>
    </w:r>
    <w:r>
      <w:rPr>
        <w:rFonts w:ascii="Arial" w:hAnsi="Arial" w:cs="Arial" w:eastAsia="Arial"/>
        <w:b w:val="0"/>
        <w:i w:val="0"/>
        <w:color w:val="6B7280"/>
        <w:sz w:val="16"/>
      </w:rPr>
      <w:t xml:space="preserve">Page </w:t>
    </w:r>
    <w:fldSimple w:instr=" PAGE ">
      <w:r>
        <w:rPr>
          <w:rFonts w:ascii="Arial" w:hAnsi="Arial" w:cs="Arial" w:eastAsia="Arial"/>
          <w:b w:val="0"/>
          <w:i w:val="0"/>
          <w:color w:val="6B7280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40"/>
    </w:pPr>
  </w:p>
  <w:tbl>
    <w:tblPr>
      <w:jc w:val="left"/>
      <w:tblLook w:firstColumn="1" w:firstRow="1" w:lastColumn="0" w:lastRow="0" w:noHBand="0" w:noVBand="1" w:val="04A0"/>
      <w:tblLayout w:type="fixed"/>
      <w:tblW w:w="9818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9818"/>
    </w:tblGrid>
    <w:tr>
      <w:tc>
        <w:tcPr>
          <w:tcW w:w="9818" w:type="dxa"/>
          <w:shd w:val="clear" w:fill="1E3A5F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184" w:type="dxa"/>
            <w:right w:w="0" w:type="dxa"/>
          </w:tcMar>
        </w:tcPr>
        <w:p>
          <w:pPr>
            <w:tabs>
              <w:tab w:pos="9818" w:val="right"/>
            </w:tabs>
            <w:spacing w:before="218" w:after="0" w:lineRule="exact" w:line="198"/>
            <w:jc w:val="left"/>
          </w:pPr>
          <w:r>
            <w:rPr>
              <w:rFonts w:ascii="Arial" w:hAnsi="Arial" w:cs="Arial" w:eastAsia="Arial"/>
              <w:b/>
              <w:i w:val="0"/>
              <w:color w:val="FFFFFF"/>
              <w:sz w:val="17"/>
            </w:rPr>
            <w:t xml:space="preserve">THE ECONOMICS OF TIERED AI INFERENCE </w:t>
          </w:r>
          <w:r>
            <w:rPr>
              <w:rFonts w:ascii="Arial" w:hAnsi="Arial" w:cs="Arial" w:eastAsia="Arial"/>
              <w:b w:val="0"/>
              <w:i w:val="0"/>
              <w:color w:val="BFDBFE"/>
              <w:sz w:val="17"/>
            </w:rPr>
            <w:tab/>
          </w:r>
          <w:r>
            <w:rPr>
              <w:rFonts w:ascii="Arial" w:hAnsi="Arial" w:cs="Arial" w:eastAsia="Arial"/>
              <w:b w:val="0"/>
              <w:i w:val="0"/>
              <w:color w:val="BFDBFE"/>
              <w:sz w:val="17"/>
            </w:rPr>
            <w:t>MERIDIAN ANALYTICS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