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324"/>
        <w:jc w:val="left"/>
        <w:outlineLvl w:val="0"/>
      </w:pPr>
      <w:r>
        <w:rPr>
          <w:rFonts w:ascii="Arial" w:hAnsi="Arial" w:cs="Arial" w:eastAsia="Arial"/>
          <w:b/>
          <w:i w:val="0"/>
          <w:color w:val="1F2937"/>
          <w:sz w:val="28"/>
        </w:rPr>
        <w:t>Q3 Planning Memo</w:t>
      </w:r>
    </w:p>
    <w:p>
      <w:pPr>
        <w:spacing w:before="124" w:after="0" w:lineRule="exact" w:line="340"/>
        <w:ind w:right="7514"/>
        <w:jc w:val="both"/>
      </w:pPr>
      <w:r>
        <w:rPr>
          <w:rFonts w:ascii="Arial" w:hAnsi="Arial" w:cs="Arial" w:eastAsia="Arial"/>
          <w:b w:val="0"/>
          <w:i w:val="0"/>
          <w:color w:val="6B7280"/>
          <w:sz w:val="20"/>
        </w:rPr>
        <w:t xml:space="preserve">From: Operations </w:t>
      </w:r>
      <w:r>
        <w:rPr>
          <w:rFonts w:ascii="Arial" w:hAnsi="Arial" w:cs="Arial" w:eastAsia="Arial"/>
          <w:b w:val="0"/>
          <w:i w:val="0"/>
          <w:color w:val="6B7280"/>
          <w:sz w:val="20"/>
        </w:rPr>
        <w:t xml:space="preserve">To: All team leads </w:t>
      </w:r>
      <w:r>
        <w:rPr>
          <w:rFonts w:ascii="Arial" w:hAnsi="Arial" w:cs="Arial" w:eastAsia="Arial"/>
          <w:b w:val="0"/>
          <w:i w:val="0"/>
          <w:color w:val="6B7280"/>
          <w:sz w:val="20"/>
        </w:rPr>
        <w:t>Date: July 21 , 2026</w:t>
      </w:r>
    </w:p>
    <w:p>
      <w:pPr>
        <w:spacing w:before="318" w:after="0" w:lineRule="exact" w:line="40"/>
        <w:pBdr>
          <w:top w:val="nil"/>
          <w:left w:val="nil"/>
          <w:bottom w:val="single" w:sz="6" w:space="0" w:color="D1D5DB"/>
          <w:right w:val="nil"/>
        </w:pBdr>
      </w:pPr>
      <w:r>
        <w:rPr>
          <w:sz w:val="2"/>
        </w:rPr>
      </w:r>
    </w:p>
    <w:p>
      <w:pPr>
        <w:spacing w:before="18" w:after="0" w:lineRule="exact" w:line="46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Planning for the third quarter begins next week. Each team should prepare a one-page summary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covering capacity, dependencies, and the two highest leverage initiatives on their roadmap.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Please note the following deadlines:</w:t>
      </w:r>
    </w:p>
    <w:p>
      <w:pPr>
        <w:tabs>
          <w:tab w:pos="348" w:val="left"/>
        </w:tabs>
        <w:spacing w:before="58" w:after="0" w:lineRule="exact" w:line="278"/>
        <w:ind w:left="348" w:hanging="34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August 3 — draft summaries due to operations.</w:t>
      </w:r>
    </w:p>
    <w:p>
      <w:pPr>
        <w:tabs>
          <w:tab w:pos="348" w:val="left"/>
        </w:tabs>
        <w:spacing w:before="182" w:after="0" w:lineRule="exact" w:line="278"/>
        <w:ind w:left="348" w:hanging="348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August 7 — cross-team dependency review.</w:t>
      </w:r>
    </w:p>
    <w:p>
      <w:pPr>
        <w:spacing w:before="180" w:after="0" w:lineRule="exact" w:line="244"/>
        <w:ind w:left="348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August 12 — final plans locked.</w:t>
      </w:r>
    </w:p>
    <w:p>
      <w:pPr>
        <w:spacing w:before="0" w:after="0" w:lineRule="exact" w:line="43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 xml:space="preserve">•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Questions should go to the planning channel rather than direct messages so answers are shared.</w:t>
      </w:r>
    </w:p>
    <w:sectPr w:rsidR="00FC693F" w:rsidRPr="0006063C" w:rsidSect="00034616">
      <w:pgSz w:w="12240" w:h="15840"/>
      <w:pgMar w:top="1586" w:right="1572" w:bottom="1440" w:left="1572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