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Layout w:type="fixed"/>
        <w:tblW w:w="12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080"/>
      </w:tblGrid>
      <w:tr>
        <w:tc>
          <w:tcPr>
            <w:tcW w:w="12080" w:type="dxa"/>
            <w:shd w:val="clear" w:fill="1E3A5F"/>
            <w:tcBorders>
              <w:top w:val="nil"/>
              <w:left w:val="nil"/>
              <w:bottom w:val="single" w:sz="32" w:space="0" w:color="F59E0B"/>
              <w:right w:val="nil"/>
            </w:tcBorders>
            <w:tcMar>
              <w:top w:w="0" w:type="dxa"/>
              <w:left w:w="1124" w:type="dxa"/>
              <w:bottom w:w="480" w:type="dxa"/>
              <w:right w:w="0" w:type="dxa"/>
            </w:tcMar>
          </w:tcPr>
          <w:p>
            <w:pPr>
              <w:spacing w:before="1364" w:after="0" w:lineRule="exact" w:line="5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50"/>
              </w:rPr>
              <w:t>The Economics of Tiered AI Inference</w:t>
            </w:r>
          </w:p>
          <w:p>
            <w:pPr>
              <w:spacing w:before="138" w:after="0" w:lineRule="exact" w:line="29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BFDBFE"/>
                <w:sz w:val="25"/>
              </w:rPr>
              <w:t>A Meridian Analytics Whitepaper</w:t>
            </w:r>
          </w:p>
          <w:p>
            <w:pPr>
              <w:spacing w:before="406" w:after="0" w:lineRule="exact" w:line="22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93C5FD"/>
                <w:sz w:val="19"/>
              </w:rPr>
              <w:t>July 2026 | Research Division | meridian-analytics.example.com</w:t>
            </w:r>
          </w:p>
        </w:tc>
      </w:tr>
    </w:tbl>
    <w:p>
      <w:pPr>
        <w:keepNext/>
        <w:spacing w:before="736" w:after="0" w:lineRule="exact" w:line="372"/>
        <w:ind w:left="1124" w:right="1120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Executive Summary</w:t>
      </w:r>
    </w:p>
    <w:p>
      <w:pPr>
        <w:spacing w:before="192" w:after="0" w:lineRule="exact" w:line="40"/>
        <w:ind w:left="1124" w:right="1116"/>
        <w:pBdr>
          <w:top w:val="nil"/>
          <w:left w:val="nil"/>
          <w:bottom w:val="single" w:sz="8" w:space="0" w:color="E5E7EB"/>
          <w:right w:val="nil"/>
        </w:pBdr>
      </w:pPr>
      <w:r>
        <w:rPr>
          <w:sz w:val="2"/>
        </w:rPr>
      </w:r>
    </w:p>
    <w:p>
      <w:pPr>
        <w:spacing w:before="154" w:after="0" w:lineRule="exact" w:line="300"/>
        <w:ind w:left="1124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Modern inference workloads exhibit sharply bimodal traffic patterns, with sustained baseline demand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punctuated by bursts that exceed steady-state volume by an order of magnitude. Provisioning for peak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wastes capacity; provisioning for baseline degrades latency guarantees precisely when demand is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highest. Organizations that adopt a tiered execution fabric report materially better cost curves than those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scaling monolithic clusters, because scheduling decisions can exploit heterogeneity in both hardware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request criticality. This paper introduces a cost model that treats inference capacity as a portfolio rather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than a pipeline.</w:t>
      </w:r>
    </w:p>
    <w:p>
      <w:pPr>
        <w:spacing w:before="160" w:after="0" w:lineRule="exact" w:line="300"/>
        <w:ind w:left="1124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remainder of this document quantifies these effects across three deployment archetypes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proposes an adoption sequence that minimizes migration risk while preserving existing service level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objectives. Readers responsible for capacity planning should focus on Sections 2 and 4; readers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responsible for procurement should focus on Section 3.</w:t>
      </w:r>
    </w:p>
    <w:p>
      <w:pPr>
        <w:spacing w:before="0" w:after="0" w:lineRule="exact" w:line="2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960" w:type="dxa"/>
        <w:tblInd w:w="11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>
        <w:tc>
          <w:tcPr>
            <w:tcW w:w="9960" w:type="dxa"/>
            <w:shd w:val="clear" w:fill="EFF6FF"/>
            <w:tcBorders>
              <w:top w:val="nil"/>
              <w:left w:val="single" w:sz="24" w:space="0" w:color="2563EB"/>
              <w:bottom w:val="nil"/>
              <w:right w:val="nil"/>
            </w:tcBorders>
            <w:tcMar>
              <w:top w:w="142" w:type="dxa"/>
              <w:left w:w="240" w:type="dxa"/>
              <w:bottom w:w="218" w:type="dxa"/>
              <w:right w:w="80" w:type="dxa"/>
            </w:tcMar>
          </w:tcPr>
          <w:p>
            <w:pPr>
              <w:spacing w:before="0" w:after="0" w:lineRule="exact" w:line="2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Key Insight: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 xml:space="preserve"> Across the 41 organizations surveyed, tiered inference reduced cost per thousand requests by 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>a median of 38% while improving p99 latency by 22%.</w:t>
            </w:r>
          </w:p>
        </w:tc>
      </w:tr>
    </w:tbl>
    <w:p>
      <w:pPr>
        <w:keepNext/>
        <w:spacing w:before="376" w:after="0" w:lineRule="exact" w:line="372"/>
        <w:ind w:left="1124" w:right="1120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1. Market Context</w:t>
      </w:r>
    </w:p>
    <w:p>
      <w:pPr>
        <w:spacing w:before="126" w:after="0" w:lineRule="exact" w:line="300"/>
        <w:ind w:left="1124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Modern inference workloads exhibit sharply bimodal traffic patterns, with sustained baseline demand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punctuated by bursts that exceed steady-state volume by an order of magnitude. Provisioning for peak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wastes capacity; provisioning for baseline degrades latency guarantees precisely when demand is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highest. Vendors have responded with a proliferation of accelerator classes, each optimized for a different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point on the latency-throughput frontier.</w:t>
      </w:r>
    </w:p>
    <w:p>
      <w:pPr>
        <w:keepNext/>
        <w:spacing w:before="318" w:after="0" w:lineRule="exact" w:line="290"/>
        <w:ind w:left="1124" w:right="1120"/>
        <w:jc w:val="left"/>
        <w:outlineLvl w:val="1"/>
      </w:pPr>
      <w:r>
        <w:rPr>
          <w:rFonts w:ascii="Arial" w:hAnsi="Arial" w:cs="Arial" w:eastAsia="Arial"/>
          <w:b/>
          <w:i w:val="0"/>
          <w:color w:val="2563EB"/>
          <w:sz w:val="25"/>
        </w:rPr>
        <w:t>1.1 Demand-side dynamics</w:t>
      </w:r>
    </w:p>
    <w:p>
      <w:pPr>
        <w:spacing w:before="92" w:after="0" w:lineRule="exact" w:line="300"/>
        <w:ind w:left="1124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Organizations that adopt a tiered execution fabric report materially better cost curves than those scaling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monolithic clusters, because scheduling decisions can exploit heterogeneity in both hardware and request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criticality. Buyers increasingly negotiate committed-use discounts against a blended fleet rather than a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single instance family.</w:t>
      </w:r>
    </w:p>
    <w:p>
      <w:pPr>
        <w:tabs>
          <w:tab w:pos="1480" w:val="left"/>
        </w:tabs>
        <w:spacing w:before="218" w:after="0" w:lineRule="exact" w:line="278"/>
        <w:ind w:left="1480" w:hanging="360" w:right="112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Baseline traffic grows 3.1× year over year in our panel, while peak-to-baseline ratios remain near 9:1.</w:t>
      </w:r>
    </w:p>
    <w:p>
      <w:pPr>
        <w:sectPr>
          <w:footerReference w:type="default" r:id="rId9"/>
          <w:pgSz w:w="12240" w:h="15840"/>
          <w:pgMar w:top="0" w:right="80" w:bottom="1128" w:left="80" w:header="0" w:footer="632" w:gutter="0"/>
          <w:cols w:num="1"/>
          <w:docGrid w:linePitch="360"/>
        </w:sectPr>
        <w:spacing w:before="0" w:after="0" w:line="20" w:lineRule="exact"/>
      </w:pPr>
    </w:p>
    <w:p>
      <w:pPr>
        <w:tabs>
          <w:tab w:pos="356" w:val="left"/>
        </w:tabs>
        <w:spacing w:before="30" w:after="0" w:lineRule="exact" w:line="278"/>
        <w:ind w:left="356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Latency-sensitive requests represent 17% of volume but 44% of infrastructure spend.</w:t>
      </w:r>
    </w:p>
    <w:p>
      <w:pPr>
        <w:tabs>
          <w:tab w:pos="356" w:val="left"/>
        </w:tabs>
        <w:spacing w:before="182" w:after="0" w:lineRule="exact" w:line="278"/>
        <w:ind w:left="356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Batch-tolerant workloads are the fastest-growing segment, at 58% year over year.</w:t>
      </w:r>
    </w:p>
    <w:p>
      <w:pPr>
        <w:keepNext/>
        <w:spacing w:before="562" w:after="0" w:lineRule="exact" w:line="290"/>
        <w:jc w:val="left"/>
        <w:outlineLvl w:val="1"/>
      </w:pPr>
      <w:r>
        <w:rPr>
          <w:rFonts w:ascii="Arial" w:hAnsi="Arial" w:cs="Arial" w:eastAsia="Arial"/>
          <w:b/>
          <w:i w:val="0"/>
          <w:color w:val="2563EB"/>
          <w:sz w:val="25"/>
        </w:rPr>
        <w:t>1.2 Supply-side response</w:t>
      </w:r>
    </w:p>
    <w:p>
      <w:pPr>
        <w:spacing w:before="92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Accelerator roadmaps now bifurcate into throughput-optimized and latency-optimized lines. The table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below summarizes list pricing normalized to a common benchmark unit.</w:t>
      </w:r>
    </w:p>
    <w:p>
      <w:pPr>
        <w:spacing w:before="0" w:after="0" w:lineRule="exact" w:line="2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2600"/>
        <w:gridCol w:w="1700"/>
        <w:gridCol w:w="1600"/>
        <w:gridCol w:w="2780"/>
      </w:tblGrid>
      <w:tr>
        <w:tc>
          <w:tcPr>
            <w:tcW w:w="14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w="26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Hardware class</w:t>
            </w:r>
          </w:p>
        </w:tc>
        <w:tc>
          <w:tcPr>
            <w:tcW w:w="17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Cost / 1K req</w:t>
            </w:r>
          </w:p>
        </w:tc>
        <w:tc>
          <w:tcPr>
            <w:tcW w:w="16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p99 latency</w:t>
            </w:r>
          </w:p>
        </w:tc>
        <w:tc>
          <w:tcPr>
            <w:tcW w:w="278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Best fit</w:t>
            </w:r>
          </w:p>
        </w:tc>
      </w:tr>
      <w:tr>
        <w:tc>
          <w:tcPr>
            <w:tcW w:w="14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Realtime</w:t>
            </w:r>
          </w:p>
        </w:tc>
        <w:tc>
          <w:tcPr>
            <w:tcW w:w="2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Latency-optimized</w:t>
            </w:r>
          </w:p>
        </w:tc>
        <w:tc>
          <w:tcPr>
            <w:tcW w:w="17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$4.20</w:t>
            </w:r>
          </w:p>
        </w:tc>
        <w:tc>
          <w:tcPr>
            <w:tcW w:w="1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180 ms</w:t>
            </w:r>
          </w:p>
        </w:tc>
        <w:tc>
          <w:tcPr>
            <w:tcW w:w="278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Interactive agents</w:t>
            </w:r>
          </w:p>
        </w:tc>
      </w:tr>
      <w:tr>
        <w:tc>
          <w:tcPr>
            <w:tcW w:w="14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Standard</w:t>
            </w:r>
          </w:p>
        </w:tc>
        <w:tc>
          <w:tcPr>
            <w:tcW w:w="2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Balanced</w:t>
            </w:r>
          </w:p>
        </w:tc>
        <w:tc>
          <w:tcPr>
            <w:tcW w:w="17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$1.85</w:t>
            </w:r>
          </w:p>
        </w:tc>
        <w:tc>
          <w:tcPr>
            <w:tcW w:w="1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650 ms</w:t>
            </w:r>
          </w:p>
        </w:tc>
        <w:tc>
          <w:tcPr>
            <w:tcW w:w="278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API workloads</w:t>
            </w:r>
          </w:p>
        </w:tc>
      </w:tr>
      <w:tr>
        <w:tc>
          <w:tcPr>
            <w:tcW w:w="14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Batch</w:t>
            </w:r>
          </w:p>
        </w:tc>
        <w:tc>
          <w:tcPr>
            <w:tcW w:w="2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Throughput-optimized</w:t>
            </w:r>
          </w:p>
        </w:tc>
        <w:tc>
          <w:tcPr>
            <w:tcW w:w="17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$0.62</w:t>
            </w:r>
          </w:p>
        </w:tc>
        <w:tc>
          <w:tcPr>
            <w:tcW w:w="1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8 s</w:t>
            </w:r>
          </w:p>
        </w:tc>
        <w:tc>
          <w:tcPr>
            <w:tcW w:w="278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Offline enrichment</w:t>
            </w:r>
          </w:p>
        </w:tc>
      </w:tr>
      <w:tr>
        <w:tc>
          <w:tcPr>
            <w:tcW w:w="14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Spot</w:t>
            </w:r>
          </w:p>
        </w:tc>
        <w:tc>
          <w:tcPr>
            <w:tcW w:w="2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Preemptible mix</w:t>
            </w:r>
          </w:p>
        </w:tc>
        <w:tc>
          <w:tcPr>
            <w:tcW w:w="17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$0.31</w:t>
            </w:r>
          </w:p>
        </w:tc>
        <w:tc>
          <w:tcPr>
            <w:tcW w:w="1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best effort</w:t>
            </w:r>
          </w:p>
        </w:tc>
        <w:tc>
          <w:tcPr>
            <w:tcW w:w="278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Experimentation</w:t>
            </w:r>
          </w:p>
        </w:tc>
      </w:tr>
    </w:tbl>
    <w:p>
      <w:pPr>
        <w:spacing w:before="88" w:after="0" w:lineRule="exact" w:line="198"/>
        <w:jc w:val="left"/>
      </w:pPr>
      <w:r>
        <w:rPr>
          <w:rFonts w:ascii="Arial" w:hAnsi="Arial" w:cs="Arial" w:eastAsia="Arial"/>
          <w:b w:val="0"/>
          <w:i w:val="0"/>
          <w:color w:val="6B7280"/>
          <w:sz w:val="17"/>
        </w:rPr>
        <w:t>Table 1: Normalized pricing across inference tiers, June 2026 list prices.</w:t>
      </w:r>
    </w:p>
    <w:p>
      <w:pPr>
        <w:keepNext/>
        <w:spacing w:before="470" w:after="0" w:lineRule="exact" w:line="372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2. Cost Model</w:t>
      </w:r>
    </w:p>
    <w:p>
      <w:pPr>
        <w:spacing w:before="126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We model total cost as the sum of tier-level commitments plus overflow penalties. Fleet growth under the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tiered strategy is shown below.</w:t>
      </w:r>
    </w:p>
    <w:p>
      <w:pPr>
        <w:spacing w:before="362" w:after="0" w:lineRule="atLeast" w:line="3492"/>
        <w:ind w:left="524"/>
        <w:jc w:val="left"/>
      </w:pPr>
      <w:r>
        <w:drawing>
          <wp:inline xmlns:a="http://schemas.openxmlformats.org/drawingml/2006/main" xmlns:pic="http://schemas.openxmlformats.org/drawingml/2006/picture">
            <wp:extent cx="4898085" cy="2216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085" cy="221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744" w:after="0" w:lineRule="exact" w:line="290"/>
        <w:jc w:val="left"/>
        <w:outlineLvl w:val="1"/>
      </w:pPr>
      <w:r>
        <w:rPr>
          <w:rFonts w:ascii="Arial" w:hAnsi="Arial" w:cs="Arial" w:eastAsia="Arial"/>
          <w:b/>
          <w:i w:val="0"/>
          <w:color w:val="2563EB"/>
          <w:sz w:val="25"/>
        </w:rPr>
        <w:t>2.1 Sensitivity</w:t>
      </w:r>
    </w:p>
    <w:p>
      <w:pPr>
        <w:spacing w:before="92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Organizations that adopt a tiered execution fabric report materially better cost curves than those scaling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monolithic clusters, because scheduling decisions can exploit heterogeneity in both hardware and request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criticality. Sensitivity analysis indicates the crossover point sits near 41% batch-tolerant share for typical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enterprise mixes.</w:t>
      </w:r>
    </w:p>
    <w:p>
      <w:pPr>
        <w:spacing w:before="0" w:after="0" w:lineRule="exact" w:line="20"/>
      </w:pPr>
      <w:r>
        <w:br w:type="page"/>
      </w:r>
    </w:p>
    <w:p>
      <w:pPr>
        <w:spacing w:before="3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1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Estimate the batch-tolerant share of current traffic.</w:t>
      </w:r>
    </w:p>
    <w:p>
      <w:pPr>
        <w:spacing w:before="182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2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Negotiate committed use only for the realtime tier.</w:t>
      </w:r>
    </w:p>
    <w:p>
      <w:pPr>
        <w:spacing w:before="182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3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Route overflow to spot capacity with graceful degradation.</w:t>
      </w:r>
    </w:p>
    <w:p>
      <w:pPr>
        <w:spacing w:before="182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4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Re-evaluate the mix quarterly against observed telemetry.</w:t>
      </w:r>
    </w:p>
    <w:p>
      <w:pPr>
        <w:spacing w:before="0" w:after="0" w:lineRule="exact" w:line="29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>
        <w:tc>
          <w:tcPr>
            <w:tcW w:w="9960" w:type="dxa"/>
            <w:shd w:val="clear" w:fill="FEF3C7"/>
            <w:tcBorders>
              <w:top w:val="nil"/>
              <w:left w:val="single" w:sz="24" w:space="0" w:color="F59E0B"/>
              <w:bottom w:val="nil"/>
              <w:right w:val="nil"/>
            </w:tcBorders>
            <w:tcMar>
              <w:top w:w="142" w:type="dxa"/>
              <w:left w:w="240" w:type="dxa"/>
              <w:bottom w:w="218" w:type="dxa"/>
              <w:right w:w="80" w:type="dxa"/>
            </w:tcMar>
          </w:tcPr>
          <w:p>
            <w:pPr>
              <w:spacing w:before="0" w:after="0" w:lineRule="exact" w:line="2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Risk: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 xml:space="preserve"> Committed-use discounts applied to the wrong tier are the single largest source of waste we observed 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>— median overspend of $2.4M annually.</w:t>
            </w:r>
          </w:p>
        </w:tc>
      </w:tr>
    </w:tbl>
    <w:p>
      <w:pPr>
        <w:keepNext/>
        <w:spacing w:before="376" w:after="0" w:lineRule="exact" w:line="372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3. Procurement Playbook</w:t>
      </w:r>
    </w:p>
    <w:p>
      <w:pPr>
        <w:spacing w:before="126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remainder of this document quantifies these effects across three deployment archetypes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proposes an adoption sequence that minimizes migration risk while preserving existing service level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objectives. A worked example with editable assumptions is available at </w:t>
      </w:r>
      <w:hyperlink r:id="rId13">
        <w:r>
          <w:rPr>
            <w:rFonts w:ascii="Arial" w:hAnsi="Arial" w:cs="Arial" w:eastAsia="Arial"/>
            <w:b w:val="0"/>
            <w:i w:val="0"/>
            <w:color w:val="2563EB"/>
            <w:sz w:val="21"/>
            <w:u w:val="single"/>
          </w:rPr>
          <w:t xml:space="preserve">meridian-analytics.example.com/models</w:t>
        </w:r>
      </w:hyperlink>
      <w:r>
        <w:rPr>
          <w:rFonts w:ascii="Arial" w:hAnsi="Arial" w:cs="Arial" w:eastAsia="Arial"/>
          <w:b w:val="0"/>
          <w:i w:val="0"/>
          <w:color w:val="1F2937"/>
          <w:sz w:val="21"/>
        </w:rPr>
        <w:t>.</w:t>
      </w:r>
    </w:p>
    <w:p>
      <w:pPr>
        <w:spacing w:before="160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Modern inference workloads exhibit sharply bimodal traffic patterns, with sustained baseline demand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punctuated by bursts that exceed steady-state volume by an order of magnitude. Provisioning for peak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wastes capacity; provisioning for baseline degrades latency guarantees precisely when demand is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highest. Organizations that adopt a tiered execution fabric report materially better cost curves than those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scaling monolithic clusters, because scheduling decisions can exploit heterogeneity in both hardware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request criticality.</w:t>
      </w:r>
    </w:p>
    <w:p>
      <w:pPr>
        <w:keepNext/>
        <w:spacing w:before="422" w:after="0" w:lineRule="exact" w:line="372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4. Conclusion</w:t>
      </w:r>
    </w:p>
    <w:p>
      <w:pPr>
        <w:spacing w:before="126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Treating inference as a portfolio converts an infrastructure argument into a financial one. The remainder of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this document quantifies these effects across three deployment archetypes and proposes an adoption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sequence that minimizes migration risk while preserving existing service level objectives.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82" w:right="1200" w:bottom="1128" w:left="1203" w:header="0" w:footer="632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960" w:val="right"/>
      </w:tabs>
      <w:spacing w:before="0" w:after="0" w:lineRule="exact" w:line="186"/>
      <w:ind w:left="1124" w:right="1120"/>
      <w:jc w:val="left"/>
      <w:pBdr>
        <w:top w:val="single" w:sz="5" w:space="3" w:color="D1D5DB"/>
        <w:left w:val="nil"/>
        <w:bottom w:val="nil"/>
        <w:right w:val="nil"/>
      </w:pBdr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© </w:t>
    </w:r>
    <w:r>
      <w:rPr>
        <w:rFonts w:ascii="Arial" w:hAnsi="Arial" w:cs="Arial" w:eastAsia="Arial"/>
        <w:b w:val="0"/>
        <w:i w:val="0"/>
        <w:color w:val="6B7280"/>
        <w:sz w:val="16"/>
      </w:rPr>
      <w:t>2026</w:t>
    </w:r>
    <w:r>
      <w:rPr>
        <w:rFonts w:ascii="Arial" w:hAnsi="Arial" w:cs="Arial" w:eastAsia="Arial"/>
        <w:b w:val="0"/>
        <w:i w:val="0"/>
        <w:color w:val="6B7280"/>
        <w:sz w:val="16"/>
      </w:rPr>
      <w:t xml:space="preserve"> Meridian Analytics — Confidential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r>
      <w:rPr>
        <w:rFonts w:ascii="Arial" w:hAnsi="Arial" w:cs="Arial" w:eastAsia="Arial"/>
        <w:b w:val="0"/>
        <w:i w:val="0"/>
        <w:color w:val="6B7280"/>
        <w:sz w:val="16"/>
      </w:rPr>
      <w:t xml:space="preserve">Page </w:t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36" w:val="right"/>
      </w:tabs>
      <w:spacing w:before="0" w:after="0" w:lineRule="exact" w:line="186"/>
      <w:jc w:val="left"/>
      <w:pBdr>
        <w:top w:val="single" w:sz="5" w:space="3" w:color="D1D5DB"/>
        <w:left w:val="nil"/>
        <w:bottom w:val="nil"/>
        <w:right w:val="nil"/>
      </w:pBdr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© </w:t>
    </w:r>
    <w:r>
      <w:rPr>
        <w:rFonts w:ascii="Arial" w:hAnsi="Arial" w:cs="Arial" w:eastAsia="Arial"/>
        <w:b w:val="0"/>
        <w:i w:val="0"/>
        <w:color w:val="6B7280"/>
        <w:sz w:val="16"/>
      </w:rPr>
      <w:t>2026</w:t>
    </w:r>
    <w:r>
      <w:rPr>
        <w:rFonts w:ascii="Arial" w:hAnsi="Arial" w:cs="Arial" w:eastAsia="Arial"/>
        <w:b w:val="0"/>
        <w:i w:val="0"/>
        <w:color w:val="6B7280"/>
        <w:sz w:val="16"/>
      </w:rPr>
      <w:t xml:space="preserve"> Meridian Analytics — Confidential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r>
      <w:rPr>
        <w:rFonts w:ascii="Arial" w:hAnsi="Arial" w:cs="Arial" w:eastAsia="Arial"/>
        <w:b w:val="0"/>
        <w:i w:val="0"/>
        <w:color w:val="6B7280"/>
        <w:sz w:val="16"/>
      </w:rPr>
      <w:t xml:space="preserve">Page </w:t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40"/>
    </w:pPr>
  </w:p>
  <w:tbl>
    <w:tblPr>
      <w:jc w:val="left"/>
      <w:tblLook w:firstColumn="1" w:firstRow="1" w:lastColumn="0" w:lastRow="0" w:noHBand="0" w:noVBand="1" w:val="04A0"/>
      <w:tblLayout w:type="fixed"/>
      <w:tblW w:w="9837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9837"/>
    </w:tblGrid>
    <w:tr>
      <w:tc>
        <w:tcPr>
          <w:tcW w:w="9837" w:type="dxa"/>
          <w:shd w:val="clear" w:fill="1E3A5F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184" w:type="dxa"/>
            <w:right w:w="0" w:type="dxa"/>
          </w:tcMar>
        </w:tcPr>
        <w:p>
          <w:pPr>
            <w:tabs>
              <w:tab w:pos="9836" w:val="right"/>
            </w:tabs>
            <w:spacing w:before="218" w:after="0" w:lineRule="exact" w:line="198"/>
            <w:jc w:val="left"/>
          </w:pPr>
          <w:r>
            <w:rPr>
              <w:rFonts w:ascii="Arial" w:hAnsi="Arial" w:cs="Arial" w:eastAsia="Arial"/>
              <w:b/>
              <w:i w:val="0"/>
              <w:color w:val="FFFFFF"/>
              <w:sz w:val="17"/>
            </w:rPr>
            <w:t>THE ECONOMICS OF TIERED AI INFERENCE</w:t>
          </w:r>
          <w:r>
            <w:rPr>
              <w:rFonts w:ascii="Arial" w:hAnsi="Arial" w:cs="Arial" w:eastAsia="Arial"/>
              <w:b w:val="0"/>
              <w:i w:val="0"/>
              <w:color w:val="BFDBFE"/>
              <w:sz w:val="17"/>
            </w:rPr>
            <w:tab/>
          </w:r>
          <w:r>
            <w:rPr>
              <w:rFonts w:ascii="Arial" w:hAnsi="Arial" w:cs="Arial" w:eastAsia="Arial"/>
              <w:b w:val="0"/>
              <w:i w:val="0"/>
              <w:color w:val="BFDBFE"/>
              <w:sz w:val="17"/>
            </w:rPr>
            <w:t>MERIDIAN ANALYTICS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yperlink" Target="https://meridian-analytics.example.com/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