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1E3A5F"/>
            <w:tcBorders>
              <w:top w:val="nil"/>
              <w:left w:val="nil"/>
              <w:bottom w:val="single" w:sz="32" w:space="0" w:color="F59E0B"/>
              <w:right w:val="nil"/>
            </w:tcBorders>
            <w:tcMar>
              <w:top w:w="0" w:type="dxa"/>
              <w:left w:w="1134" w:type="dxa"/>
              <w:bottom w:w="480" w:type="dxa"/>
              <w:right w:w="0" w:type="dxa"/>
            </w:tcMar>
          </w:tcPr>
          <w:p>
            <w:pPr>
              <w:spacing w:before="1364" w:after="0" w:lineRule="exact" w:line="5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50"/>
              </w:rPr>
              <w:t>The Economics of Tiered AI Inference</w:t>
            </w:r>
          </w:p>
          <w:p>
            <w:pPr>
              <w:spacing w:before="138" w:after="0" w:lineRule="exact" w:line="29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BFDBFE"/>
                <w:sz w:val="25"/>
              </w:rPr>
              <w:t>A Meridian Analytics Whitepaper</w:t>
            </w:r>
          </w:p>
          <w:p>
            <w:pPr>
              <w:spacing w:before="406" w:after="0" w:lineRule="exact" w:line="22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93C5FD"/>
                <w:sz w:val="19"/>
              </w:rPr>
              <w:t>July 2026 | Research Division | meridian-analytics.example.com</w:t>
            </w:r>
          </w:p>
        </w:tc>
      </w:tr>
    </w:tbl>
    <w:p>
      <w:pPr>
        <w:keepNext/>
        <w:spacing w:before="736" w:after="0" w:lineRule="exact" w:line="372"/>
        <w:ind w:left="1144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Executive Summary</w:t>
      </w:r>
    </w:p>
    <w:p>
      <w:pPr>
        <w:spacing w:before="172" w:after="0" w:lineRule="exact" w:line="40"/>
        <w:ind w:left="1134" w:right="1066"/>
        <w:pBdr>
          <w:top w:val="nil"/>
          <w:left w:val="nil"/>
          <w:bottom w:val="single" w:sz="8" w:space="0" w:color="E5E7EB"/>
          <w:right w:val="nil"/>
        </w:pBdr>
      </w:pPr>
      <w:r>
        <w:rPr>
          <w:sz w:val="2"/>
        </w:rPr>
      </w:r>
    </w:p>
    <w:p>
      <w:pPr>
        <w:spacing w:before="134" w:after="0" w:lineRule="exact" w:line="300"/>
        <w:ind w:left="1134" w:right="112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request criticality. This paper introduces a cost model that treats inference capacity as a portfolio rather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than a pipeline.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Readers responsible for capacity planning should focus on Sections 2 and 4; readers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responsible for procurement should focus on Section 3.</w:t>
      </w:r>
    </w:p>
    <w:p>
      <w:pPr>
        <w:spacing w:before="0" w:after="0" w:lineRule="exact" w:line="44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Ind w:w="11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EFF6FF"/>
            <w:tcBorders>
              <w:top w:val="nil"/>
              <w:left w:val="single" w:sz="24" w:space="0" w:color="2563EB"/>
              <w:bottom w:val="nil"/>
              <w:right w:val="nil"/>
            </w:tcBorders>
            <w:tcMar>
              <w:top w:w="142" w:type="dxa"/>
              <w:left w:w="248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Key Insight: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Across the 41 organizations surveyed, tiered inference reduced cost per thousand requests by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a median of 38% while improving p99 latency by 22%.</w:t>
            </w:r>
          </w:p>
        </w:tc>
      </w:tr>
    </w:tbl>
    <w:p>
      <w:pPr>
        <w:keepNext/>
        <w:spacing w:before="376" w:after="0" w:lineRule="exact" w:line="372"/>
        <w:ind w:left="1146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1. Market Context</w:t>
      </w:r>
    </w:p>
    <w:p>
      <w:pPr>
        <w:spacing w:before="126" w:after="0" w:lineRule="exact" w:line="300"/>
        <w:ind w:left="1134" w:right="1128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Vendors have responded with a proliferation of accelerator classes, each optimized for a different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point on the latency-throughput frontier.</w:t>
      </w:r>
    </w:p>
    <w:p>
      <w:pPr>
        <w:spacing w:before="308" w:after="0" w:lineRule="exact" w:line="300"/>
        <w:ind w:left="1134" w:right="1128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1.1 Demand-side dynamics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Buyers increasingly negotiate committed-use discounts against a blended fleet rather than a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single instance family.</w:t>
      </w:r>
    </w:p>
    <w:p>
      <w:pPr>
        <w:tabs>
          <w:tab w:pos="1496" w:val="left"/>
        </w:tabs>
        <w:spacing w:before="310" w:after="0" w:lineRule="exact" w:line="278"/>
        <w:ind w:left="1496" w:hanging="362" w:right="112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Baseline traffic grows 3.1 × year over year in our panel, while peak-to-baseline ratios remain near 9:1 .</w:t>
      </w:r>
    </w:p>
    <w:p>
      <w:pPr>
        <w:sectPr>
          <w:footerReference w:type="default" r:id="rId9"/>
          <w:pgSz w:w="12240" w:h="15840"/>
          <w:pgMar w:top="0" w:right="80" w:bottom="1150" w:left="80" w:header="0" w:footer="646" w:gutter="0"/>
          <w:cols w:num="1"/>
          <w:docGrid w:linePitch="360"/>
        </w:sectPr>
        <w:spacing w:before="0" w:after="0" w:line="20" w:lineRule="exact"/>
      </w:pPr>
    </w:p>
    <w:p>
      <w:pPr>
        <w:tabs>
          <w:tab w:pos="362" w:val="left"/>
        </w:tabs>
        <w:spacing w:before="0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Latency-sensitive requests represent 17% of volume but 44% of infrastructure spend.</w:t>
      </w:r>
    </w:p>
    <w:p>
      <w:pPr>
        <w:tabs>
          <w:tab w:pos="362" w:val="left"/>
        </w:tabs>
        <w:spacing w:before="182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Batch-tolerant workloads are the fastest-growing segment, at 58% year over year.</w:t>
      </w:r>
    </w:p>
    <w:p>
      <w:pPr>
        <w:spacing w:before="452" w:after="0" w:lineRule="exact" w:line="400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1.2 Supply-side response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Accelerator roadmaps now bifurcate into throughput-optimized and latency-optimized lines. The table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below summarizes list pricing normalized to a common benchmark unit.</w:t>
      </w:r>
    </w:p>
    <w:p>
      <w:pPr>
        <w:spacing w:before="0" w:after="0" w:lineRule="exact" w:line="17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2600"/>
        <w:gridCol w:w="1700"/>
        <w:gridCol w:w="1600"/>
        <w:gridCol w:w="2780"/>
      </w:tblGrid>
      <w:tr>
        <w:tc>
          <w:tcPr>
            <w:tcW w:w="14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Tier </w:t>
            </w:r>
          </w:p>
        </w:tc>
        <w:tc>
          <w:tcPr>
            <w:tcW w:w="2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Hardware class </w:t>
            </w:r>
          </w:p>
        </w:tc>
        <w:tc>
          <w:tcPr>
            <w:tcW w:w="17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Cost / 1K req </w:t>
            </w:r>
          </w:p>
        </w:tc>
        <w:tc>
          <w:tcPr>
            <w:tcW w:w="1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p99 latency </w:t>
            </w:r>
          </w:p>
        </w:tc>
        <w:tc>
          <w:tcPr>
            <w:tcW w:w="278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Best fit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Realtime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Latency-optimized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$4.20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8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180 ms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Interactive agents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Standard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Balanced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$1 .85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650 ms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API workloads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Batch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Throughput-optimized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$0.62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8 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Offline enrichment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Spot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Preemptible mix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$0.31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best effort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Experimentation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1 : Normalized pricing across inference tiers, June 2026 list prices.</w:t>
      </w:r>
    </w:p>
    <w:p>
      <w:pPr>
        <w:keepNext/>
        <w:spacing w:before="470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2. Cost Model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We model total cost as the sum of tier-level commitments plus overflow penalties. Fleet growth under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tiered strategy is shown below.</w:t>
      </w:r>
    </w:p>
    <w:p>
      <w:pPr>
        <w:spacing w:before="394" w:after="0" w:lineRule="atLeast" w:line="3446"/>
        <w:ind w:left="528"/>
        <w:jc w:val="left"/>
      </w:pPr>
      <w:r>
        <w:drawing>
          <wp:inline xmlns:a="http://schemas.openxmlformats.org/drawingml/2006/main" xmlns:pic="http://schemas.openxmlformats.org/drawingml/2006/picture">
            <wp:extent cx="4898554" cy="218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554" cy="218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48" w:after="0" w:lineRule="exact" w:line="300"/>
        <w:jc w:val="left"/>
      </w:pPr>
      <w:r>
        <w:rPr>
          <w:rFonts w:ascii="Arial" w:hAnsi="Arial" w:cs="Arial" w:eastAsia="Arial"/>
          <w:b/>
          <w:i w:val="0"/>
          <w:color w:val="2563EB"/>
          <w:sz w:val="25"/>
        </w:rPr>
        <w:t xml:space="preserve">2.1 Sensitivity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Sensitivity analysis indicates the crossover point sits near 41 % batch-tolerant share for typical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enterprise mixes.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Estimate the batch-tolerant share of current traffic.</w:t>
      </w:r>
    </w:p>
    <w:p>
      <w:pPr>
        <w:spacing w:before="0" w:after="0" w:lineRule="exact" w:line="278"/>
        <w:ind w:left="1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</w:p>
    <w:p>
      <w:pPr>
        <w:spacing w:before="180" w:after="0" w:lineRule="exact" w:line="244"/>
        <w:ind w:left="36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Negotiate committed use only for the realtime tier.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Route overflow to spot capacity with graceful degradation.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Re-evaluate the mix quarterly against observed telemetry.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</w:p>
    <w:p>
      <w:pPr>
        <w:spacing w:before="0" w:after="0" w:lineRule="exact" w:line="29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F3C7"/>
            <w:tcBorders>
              <w:top w:val="nil"/>
              <w:left w:val="single" w:sz="24" w:space="0" w:color="F59E0B"/>
              <w:bottom w:val="nil"/>
              <w:right w:val="nil"/>
            </w:tcBorders>
            <w:tcMar>
              <w:top w:w="142" w:type="dxa"/>
              <w:left w:w="240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Risk: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Committed-use discounts applied to the wrong tier are the single largest source of waste we observed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— median overspend of $2.4M annually.</w:t>
            </w:r>
          </w:p>
        </w:tc>
      </w:tr>
    </w:tbl>
    <w:p>
      <w:pPr>
        <w:keepNext/>
        <w:spacing w:before="376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3. Procurement Playbook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</w:t>
      </w:r>
    </w:p>
    <w:p>
      <w:pPr>
        <w:spacing w:before="0" w:after="0" w:lineRule="exact" w:line="244"/>
        <w:ind w:left="14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 </w:t>
      </w:r>
    </w:p>
    <w:p>
      <w:pPr>
        <w:spacing w:before="0" w:after="0" w:lineRule="exact" w:line="244"/>
        <w:ind w:left="196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worked </w:t>
      </w:r>
    </w:p>
    <w:p>
      <w:pPr>
        <w:spacing w:before="0" w:after="0" w:lineRule="exact" w:line="244"/>
        <w:ind w:left="306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example </w:t>
      </w:r>
    </w:p>
    <w:p>
      <w:pPr>
        <w:spacing w:before="0" w:after="0" w:lineRule="exact" w:line="244"/>
        <w:ind w:left="4276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with </w:t>
      </w:r>
    </w:p>
    <w:p>
      <w:pPr>
        <w:spacing w:before="0" w:after="0" w:lineRule="exact" w:line="244"/>
        <w:ind w:left="507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editable </w:t>
      </w:r>
    </w:p>
    <w:p>
      <w:pPr>
        <w:spacing w:before="0" w:after="0" w:lineRule="exact" w:line="244"/>
        <w:ind w:left="6236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assumptions </w:t>
      </w:r>
    </w:p>
    <w:p>
      <w:pPr>
        <w:spacing w:before="0" w:after="0" w:lineRule="exact" w:line="244"/>
        <w:ind w:left="784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is </w:t>
      </w:r>
    </w:p>
    <w:p>
      <w:pPr>
        <w:spacing w:before="0" w:after="0" w:lineRule="exact" w:line="244"/>
        <w:ind w:left="840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available </w:t>
      </w:r>
    </w:p>
    <w:p>
      <w:pPr>
        <w:spacing w:before="0" w:after="0" w:lineRule="exact" w:line="244"/>
        <w:ind w:left="9658"/>
        <w:jc w:val="righ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at</w:t>
      </w:r>
    </w:p>
    <w:p>
      <w:pPr>
        <w:spacing w:before="0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2563EB"/>
          <w:sz w:val="21"/>
          <w:u w:val="single"/>
        </w:rPr>
        <w:t>meridian-analytics.example.com/models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request criticality.</w:t>
      </w:r>
    </w:p>
    <w:p>
      <w:pPr>
        <w:keepNext/>
        <w:spacing w:before="582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4. Conclusion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Treating inference as a portfolio converts an infrastructure argument into a financial one. The remainder of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this document quantifies these effects across three deployment archetypes and proposes an adoption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sequence that minimizes migration risk while preserving existing service level objectives.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20" w:right="1208" w:bottom="1150" w:left="1214" w:header="0" w:footer="64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52" w:val="right"/>
      </w:tabs>
      <w:spacing w:before="0" w:after="0" w:lineRule="exact" w:line="186"/>
      <w:ind w:left="1134" w:right="1128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18" w:val="right"/>
      </w:tabs>
      <w:spacing w:before="0" w:after="0" w:lineRule="exact" w:line="186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  <w:tbl>
    <w:tblPr>
      <w:jc w:val="left"/>
      <w:tblLook w:firstColumn="1" w:firstRow="1" w:lastColumn="0" w:lastRow="0" w:noHBand="0" w:noVBand="1" w:val="04A0"/>
      <w:tblLayout w:type="fixed"/>
      <w:tblW w:w="9818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</w:tblPr>
    <w:tblGrid>
      <w:gridCol w:w="9818"/>
    </w:tblGrid>
    <w:tr>
      <w:tc>
        <w:tcPr>
          <w:tcW w:w="9818" w:type="dxa"/>
          <w:shd w:val="clear" w:fill="1E3A5F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184" w:type="dxa"/>
            <w:right w:w="0" w:type="dxa"/>
          </w:tcMar>
        </w:tcPr>
        <w:p>
          <w:pPr>
            <w:tabs>
              <w:tab w:pos="9818" w:val="right"/>
            </w:tabs>
            <w:spacing w:before="218" w:after="0" w:lineRule="exact" w:line="198"/>
            <w:jc w:val="left"/>
          </w:pPr>
          <w:r>
            <w:rPr>
              <w:rFonts w:ascii="Arial" w:hAnsi="Arial" w:cs="Arial" w:eastAsia="Arial"/>
              <w:b/>
              <w:i w:val="0"/>
              <w:color w:val="FFFFFF"/>
              <w:sz w:val="17"/>
            </w:rPr>
            <w:t xml:space="preserve">THE ECONOMICS OF TIERED AI INFERENCE </w:t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ab/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>MERIDIAN ANALYTICS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