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1F3864"/>
          <w:sz w:val="44"/>
          <w:szCs w:val="44"/>
        </w:rPr>
        <w:t>Risk Assessment Workbench</w:t>
      </w:r>
    </w:p>
    <w:p>
      <w:pPr>
        <w:pStyle w:val="Normal"/>
        <w:pBdr>
          <w:bottom w:val="single" w:sz="8" w:space="4" w:color="1F3864"/>
        </w:pBdr>
        <w:spacing w:before="0" w:after="240"/>
        <w:rPr/>
      </w:pPr>
      <w:r>
        <w:rPr>
          <w:color w:val="595959"/>
          <w:sz w:val="28"/>
          <w:szCs w:val="28"/>
        </w:rPr>
        <w:t>Functional Requirements Document</w:t>
      </w:r>
    </w:p>
    <w:p>
      <w:pPr>
        <w:pStyle w:val="Heading1"/>
        <w:rPr/>
      </w:pPr>
      <w:r>
        <w:rPr/>
        <w:t>1. Business Purpose</w:t>
      </w:r>
    </w:p>
    <w:p>
      <w:pPr>
        <w:pStyle w:val="Heading2"/>
        <w:rPr/>
      </w:pPr>
      <w:r>
        <w:rPr/>
        <w:t>1.1 Purpose</w:t>
      </w:r>
    </w:p>
    <w:p>
      <w:pPr>
        <w:pStyle w:val="Normal"/>
        <w:spacing w:before="0" w:after="120"/>
        <w:rPr/>
      </w:pPr>
      <w:r>
        <w:rPr/>
        <w:t>The Risk Assessment Workbench (the "Workbench") is a single governed platform that takes a change request from intake, through risk assessment, to a risk committee decision. It replaces the current email and spreadsheet process with one controlled, auditable workflow in which routing, scoring and record-keeping are automated. AI is applied only where it adds clear value: finding relevant policy, extracting structured information from submitted documents, and drafting assessments for human review.</w:t>
      </w:r>
    </w:p>
    <w:p>
      <w:pPr>
        <w:pStyle w:val="Heading2"/>
        <w:rPr/>
      </w:pPr>
      <w:r>
        <w:rPr/>
        <w:t>1.2 Background and Problem Statement</w:t>
      </w:r>
    </w:p>
    <w:p>
      <w:pPr>
        <w:pStyle w:val="Normal"/>
        <w:spacing w:before="0" w:after="120"/>
        <w:rPr/>
      </w:pPr>
      <w:r>
        <w:rPr/>
        <w:t>Change requests are currently raised, assessed and approved through email threads and spreadsheets. This creates the following problems: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b/>
          <w:bCs/>
        </w:rPr>
        <w:t xml:space="preserve">Fragmented records: </w:t>
      </w:r>
      <w:r>
        <w:rPr/>
        <w:t>Requests, supporting documents, assessments and decisions are spread across inboxes and files, so there is no single source of truth.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Inconsistent assessment: </w:t>
      </w:r>
      <w:r>
        <w:rPr/>
        <w:t>Scoring and rationale depend on individual analysts and local spreadsheet logic, which makes outcomes hard to compare or defend.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Limited visibility: </w:t>
      </w:r>
      <w:r>
        <w:rPr/>
        <w:t>Product owners cannot easily see the status of a request, and committee members receive information in inconsistent formats.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Manual effort: </w:t>
      </w:r>
      <w:r>
        <w:rPr/>
        <w:t>Analysts spend significant time locating policy, reading submissions and re-keying data rather than applying judgement.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Weak auditability: </w:t>
      </w:r>
      <w:r>
        <w:rPr/>
        <w:t>Reconstructing who assessed what, on what basis, and who approved it is slow and error-prone, which creates governance and regulatory exposure.</w:t>
      </w:r>
    </w:p>
    <w:p>
      <w:pPr>
        <w:pStyle w:val="Heading2"/>
        <w:rPr/>
      </w:pPr>
      <w:r>
        <w:rPr/>
        <w:t>1.3 Business Objectives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Provide one end-to-end workflow from intake to committee decision, with defined stages, ownership and status tracking.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Standardise risk scoring through configurable, consistently applied scoring rules.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Reduce manual effort and cycle time by automating routing, notifications, document handling and record-keeping.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Use AI to assist, not decide: surface relevant policy, extract structure from submitted documents, and draft assessments that the FCRM analyst reviews, edits and finalises.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Support the committee with a consistent decision pack, structured voting and a recorded outcome.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Maintain a complete, tamper-evident audit trail of requests, assessments, AI-assisted outputs, votes and decisions.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Give the FCRM analyst control of platform configuration (scoring models, workflow rules, policy references) without dependence on technical teams.</w:t>
      </w:r>
    </w:p>
    <w:p>
      <w:pPr>
        <w:pStyle w:val="Heading2"/>
        <w:rPr/>
      </w:pPr>
      <w:r>
        <w:rPr/>
        <w:t>1.4 Stakeholders and Users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Group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Role in the process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What they need from the Workbench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Product Owner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Raises the change request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A guided intake, document submission, and clear visibility of status and outcome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FCRM Analyst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Finalises the assessment and owns platform configuration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AI-supported drafting, policy lookup, scoring tools, and configuration control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2"/>
                <w:szCs w:val="22"/>
              </w:rPr>
              <w:t>Risk Committee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Reviews and votes on the assessed change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2"/>
                <w:szCs w:val="22"/>
              </w:rPr>
              <w:t>A consistent decision pack, voting capability, and a recorded decision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1.5 Role of AI</w:t>
      </w:r>
    </w:p>
    <w:p>
      <w:pPr>
        <w:pStyle w:val="Normal"/>
        <w:spacing w:before="0" w:after="120"/>
        <w:rPr/>
      </w:pPr>
      <w:r>
        <w:rPr/>
        <w:t>AI is used where it measurably reduces effort or improves consistency: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Policy discovery: </w:t>
      </w:r>
      <w:r>
        <w:rPr/>
        <w:t>identifying the policies and standards relevant to a given change.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Document structuring: </w:t>
      </w:r>
      <w:r>
        <w:rPr/>
        <w:t>extracting key information from submitted documents into structured fields.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Assessment drafting: </w:t>
      </w:r>
      <w:r>
        <w:rPr/>
        <w:t>producing a draft assessment for analyst review.</w:t>
      </w:r>
    </w:p>
    <w:p>
      <w:pPr>
        <w:pStyle w:val="Normal"/>
        <w:spacing w:before="120" w:after="120"/>
        <w:rPr/>
      </w:pPr>
      <w:r>
        <w:rPr/>
        <w:t>All AI output is advisory. The FCRM analyst remains accountable for the final assessment, and the risk committee remains accountable for the decision. AI-generated content must be identifiable, reviewable and logged.</w:t>
      </w:r>
    </w:p>
    <w:p>
      <w:pPr>
        <w:pStyle w:val="Heading2"/>
        <w:rPr/>
      </w:pPr>
      <w:r>
        <w:rPr/>
        <w:t>1.6 Expected Benefits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Efficiency: </w:t>
      </w:r>
      <w:r>
        <w:rPr/>
        <w:t>shorter cycle time from request to decision, and less analyst time spent on administrative work.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Consistency and quality: </w:t>
      </w:r>
      <w:r>
        <w:rPr/>
        <w:t>uniform scoring and assessment structure across all changes.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Governance and compliance: </w:t>
      </w:r>
      <w:r>
        <w:rPr/>
        <w:t>a complete audit trail supporting internal audit and regulatory scrutiny.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Transparency: </w:t>
      </w:r>
      <w:r>
        <w:rPr/>
        <w:t>real-time status visibility for all participants.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Better decisions: </w:t>
      </w:r>
      <w:r>
        <w:rPr/>
        <w:t>committee members receive complete, comparable information in a standard format.</w:t>
      </w:r>
    </w:p>
    <w:p>
      <w:pPr>
        <w:pStyle w:val="Heading2"/>
        <w:rPr/>
      </w:pPr>
      <w:r>
        <w:rPr/>
        <w:t>1.7 Success Measures</w:t>
      </w:r>
    </w:p>
    <w:p>
      <w:pPr>
        <w:pStyle w:val="Normal"/>
        <w:spacing w:before="0" w:after="120"/>
        <w:rPr/>
      </w:pPr>
      <w:r>
        <w:rPr>
          <w:i/>
          <w:iCs/>
        </w:rPr>
        <w:t>Targets are to be agreed with the business sponsor.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Reduction in average end-to-end cycle time (baseline: [X] days; target: [Y] days)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Percentage of requests processed fully within the Workbench (target: [100]%)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Reduction in analyst effort per assessment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Percentage of AI-drafted content accepted with minor or no edits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Audit findings related to change risk assessment records (target: zero material findings)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User satisfaction across the three user groups</w:t>
      </w:r>
    </w:p>
    <w:p>
      <w:pPr>
        <w:pStyle w:val="Heading2"/>
        <w:rPr/>
      </w:pPr>
      <w:r>
        <w:rPr/>
        <w:t>1.8 Scope Boundary (Business Level)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In scope: </w:t>
      </w:r>
      <w:r>
        <w:rPr/>
        <w:t>intake, assessment, scoring, committee voting and decision, record-keeping, AI-assisted policy search, document extraction and draft assessments, and analyst-managed configuration.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Out of scope: </w:t>
      </w:r>
      <w:r>
        <w:rPr/>
        <w:t>to be confirmed in the scope section of the FRD. Examples might include implementation of approved changes and downstream project delivery tracking.</w:t>
      </w:r>
      <w:r>
        <w:br w:type="page"/>
      </w:r>
    </w:p>
    <w:p>
      <w:pPr>
        <w:pStyle w:val="Heading1"/>
        <w:rPr/>
      </w:pPr>
      <w:r>
        <w:rPr/>
        <w:t>2. Functional Requirements</w:t>
      </w:r>
    </w:p>
    <w:p>
      <w:pPr>
        <w:pStyle w:val="Normal"/>
        <w:spacing w:before="0" w:after="120"/>
        <w:rPr/>
      </w:pPr>
      <w:r>
        <w:rPr/>
        <w:t>The requirements below are grouped by functional area. Each requirement carries a unique ID, its implementation status and the evidence reference taken from the source FRD.</w:t>
      </w:r>
    </w:p>
    <w:p>
      <w:pPr>
        <w:pStyle w:val="Heading2"/>
        <w:rPr/>
      </w:pPr>
      <w:r>
        <w:rPr/>
        <w:t>2.1 Access and identity (AUTH)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FR-AUTH-01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present a login form with username and role fields, both initially blank. Selecting a role shall not fill in the username.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FR-AUTH-02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accept only the supported username and role pairs and reject any mismatch.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FR-AUTH-03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On successful login the system shall store the demo identity in the demo_user and demo_role cookies and open the matching workspace. A signed-out browser shall be redirected to login.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FR-AUTH-04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provide a sign in / switch role control that clears the identity cookies and does not display the previous identity.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FR-AUTH-05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Workbench pages shall show the signed-in user and role in the header.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2.2 Intake (INT)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FR-INT-01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product owner shall be able to submit a change request as a PDF from the Upload case page (/intake).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§3, §4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FR-INT-02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accept PDF files only and tell the user when another file type is submitted.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FR-INT-03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enforce a 10 MB upload limit.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§2, §15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FR-INT-04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reject a PDF that has no extractable text (scanned or image-only).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FR-INT-05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If extraction fails, the system shall not create a case or store the source PDF, and shall advise the user to check the provider configuration and retry.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FR-INT-06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extraction result shall appear on the page without a full reload.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2.3 Extraction (EXT)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FR-EXT-01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extract the document text using pypdf.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§1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FR-EXT-02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extract structured fields through an LLM call constrained to a Pydantic schema, so that invalid output fails visibly.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FR-EXT-03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Extracted fields shall include: case title, source filename, case ID, change type, business unit, description, geographies, customer segments, vendor information, products, stated risk factors and an extraction confidence.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§6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FR-EXT-04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extraction prompt shall be versioned in the repository (ai/prompts/extract_change_request.md) with model configuration in ai/agent_config.yaml. Document content shall be treated as untrusted.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§2, §3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2.4 Risk scoring (SCR)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FR-SCR-01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Scoring shall be performed by deterministic code with no LLM involvement.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§1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FR-SCR-02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Scoring shall use four weighted categories: customer and geography 35%, product and channel 30%, third party / vendor 20%, change complexity 15%.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§12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FR-SCR-03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Each category shall receive a score from 1 to 5 with a written rationale.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§12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FR-SCR-04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weighted result shall be mapped to a risk level of low, medium, high or critical. The threshold values are not stated in the documents reviewed.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§12 (verify thresholds)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FR-SCR-05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 and critical cases shall be flagged for committee review.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§6, §10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2.5 Policy evidence (POL)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FR-POL-01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attach policy evidence relevant to products and channels, customer segments and geography, and vendor involvement.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§13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FR-POL-02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Each evidence item shall show a policy identifier, section, excerpt, relevance statement and repository source path.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§13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FR-POL-03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If evidence retrieval returns nothing or is unavailable, the system shall fall back to deterministic rules.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§2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FR-POL-04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Policy evidence shall be refreshed whenever an analyst edits and rescores.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§7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FR-POL-05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Evidence shall cite published supervisory frameworks with a mapping approved by FCRM. 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Partial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§1, §8; M §13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2.6 Analyst review (REV)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FR-REV-01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extraction result shall display all fields, category scores and rationales, overall level, committee flag and policy evidence, and shall be presented as a draft.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§6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FR-REV-02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 analyst shall be able to edit extracted fields and rescore, supplying an actor name and a rationale. The system shall validate the edit, create a new extraction version, recalculate the score, refresh policy evidence and record an audit event.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§7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FR-REV-03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original model extraction shall be preserved after any edit.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§7, §14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FR-REV-04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 analyst shall be able to finalize the assessment or reject the draft, each requiring a rationale. The resulting states are analyst_finalized and analyst_rejected.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§8, §9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FR-REV-05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Review actions shall be available where the analyst needs them. The manual is inconsistent here: section 8 says draft and analyst-review cases offer a review form on the detail page, while sections 3 and 7 say detail pages reached from the dashboard are read-only. The actual behaviour should be confirmed.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Partial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§3, §7, §8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FR-REV-06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Low and medium cases shall end at analyst_finalized and shall not be approved or rejected automatically.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§9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2.7 Workflow (WF)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FR-WF-01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case shall move through: Draft, Analyst review, Analyst finalized, Committee review, Decisioned. A case may also be rejected during analyst review.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§11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FR-WF-02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refuse invalid transitions, for example sending a case to committee before analyst finalization.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§11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FR-WF-03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Submitting a case to committee shall require an escalation rationale.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FR-WF-04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never take an approve or reject decision without a human action.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§6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FR-WF-05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enforce SLA clocks, escalation, delegation and reassignment.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BE4D5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evidenced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2.8 Committee decision (COM)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Committee members shall see a queue of cases awaiting review (Cases to review).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§5,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member shall be able to read the finalized assessment and the analyst rationale before voting.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member shall vote Approve, Reject, Defer or Approve with conditions, entering a rationale and, where applicable, conditions.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Each member shall vote at most once per case. The case shall stay pending until three distinct votes are recorded.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§3,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After the third vote: two or more approvals (including with conditions) produce Approved; two or more rejections produce Rejected; otherwise the result is Deferred.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Partial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FR-COM-06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Committee pages shall show the vote count, pending or final result, and each member's vote and rationale.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FR-COM-07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Decisioned lists shall show the specific outcome (Approved, Rejected, Approved with conditions).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2.9 Audit and record keeping (AUD)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FR-AUD-01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record workflow events for case creation, extraction edits, analyst review, committee submission, committee votes and the final decision.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§14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FR-AUD-02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Each event shall carry an actor value, a rationale and a UTC timestamp.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§14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FR-AUD-03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Extraction versions shall preserve the original model output and every later edit.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§14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FR-AUD-04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Cases, versions, events and votes shall be persisted (SQLite).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§1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2.10 Workspaces (DSH)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FR-DSH-01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product owner workspace shall list submitted cases with read-only detail, and provide the upload entry point.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§3, §5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FR-DSH-02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analyst workspace shall list every submitted case regardless of risk level, with links to decisioned cases and cases awaiting committee review.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FR-DSH-03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committee workspace shall list cases awaiting review, with a link to decisioned cases.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§5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FR-DSH-04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Separate decisioned-case lists shall exist for analysts and committee members.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 §5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2.11 Telemetry, evaluation and delivery (OPS)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49"/>
        <w:gridCol w:w="4710"/>
        <w:gridCol w:w="1451"/>
        <w:gridCol w:w="1849"/>
      </w:tblGrid>
      <w:tr>
        <w:trPr>
          <w:tblHeader w:val="true"/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FR-OPS-01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persist model latency and token usage for each LLM call.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§2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FR-OPS-02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expose a /healthz endpoint.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§2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FR-OPS-03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system shall run in Docker and docker-compose, with configuration from a .env file (template in .env.example; OPENAI_API_KEY required for live extraction).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R; A §2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FR-OPS-04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GitHub Actions workflow (ci.yml) shall act as the automated quality gate.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FR-OPS-05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repository shall hold eight synthetic cases as JSON and PDF fixtures (for example SYN-001 low, SYN-004 medium, SYN-008 high, SYN-003 critical) and an evaluation runner that measures field accuracy, risk-level agreement and latency, with retries.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§3; M §9, §10</w:t>
            </w:r>
          </w:p>
        </w:tc>
      </w:tr>
      <w:tr>
        <w:trPr>
          <w:cantSplit w:val="true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FR-OPS-06</w:t>
            </w:r>
          </w:p>
        </w:tc>
        <w:tc>
          <w:tcPr>
            <w:tcW w:w="4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Automated tests shall cover PDF extraction, scoring, fixtures and the workflow. The assessment reports 24 passing tests (it also cites 19 in places).</w:t>
            </w:r>
          </w:p>
        </w:tc>
        <w:tc>
          <w:tcPr>
            <w:tcW w:w="1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F0D9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Implemented</w:t>
            </w:r>
          </w:p>
        </w:tc>
        <w:tc>
          <w:tcPr>
            <w:tcW w:w="1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 §7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8"/>
        <w:szCs w:val="18"/>
      </w:rPr>
      <w:t xml:space="preserve">Risk Assessment Workbench – FRD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8"/>
        <w:szCs w:val="18"/>
      </w:rPr>
      <w:t xml:space="preserve">Risk Assessment Workbench – FRD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4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keepNext w:val="true"/>
      <w:spacing w:before="240" w:after="100"/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LibreOffice/25.2.7.2$Windows_X86_64 LibreOffice_project/5cbfd1ab6520636bb5f7b99185aa69bd7456825d</Application>
  <AppVersion>15.0000</AppVersion>
  <Pages>8</Pages>
  <Words>2081</Words>
  <Characters>11994</Characters>
  <CharactersWithSpaces>13711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2026-10-07T18:19:26Z</dcterms:created>
  <dc:creator>Un-named</dc:creator>
  <dc:description/>
  <dc:language>en-US</dc:language>
  <cp:lastModifiedBy/>
  <dcterms:modified xsi:type="dcterms:W3CDTF">2026-10-08T02:40:25Z</dcterms:modified>
  <cp:revision>2</cp:revision>
  <dc:subject/>
  <dc:title/>
</cp:coreProperties>
</file>