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jc w:val="center"/>
      </w:pPr>
      <w:r>
        <w:t xml:space="preserve">YouTube Ders Videolarından RAG Tabanlı Özetleme ve Bloom Taksonomisi Yönlendirmeli Soru Üretim Sistemi</w:t>
      </w:r>
    </w:p>
    <w:p>
      <w:pPr>
        <w:pStyle w:val="Balk1"/>
      </w:pPr>
      <w:r>
        <w:t xml:space="preserve">Literatürün değerlendirilmesi</w:t>
      </w:r>
    </w:p>
    <w:p>
      <w:pPr>
        <w:jc w:val="both"/>
      </w:pPr>
      <w:r>
        <w:t xml:space="preserve">Tourigny vd. (2026), ders transkriptlerinden çoktan seçmeli soru üretiminde ajan tabanlı bir akışın hangi adımlarının kaliteyi artırdığını incelemiştir. Gemini-2.5-Flash ile kurulan akış transkripti ön işleme, konu üretimi, soru üretimi ve yinelemeli iyileştirme adımlarından oluşmakta; RAG kullanılmayıp transkriptin tamamı bağlama verilmiştir. Üçüncü sınıf bir FPGA dersinin transkriptlerinden altı Bloom düzeyinde 1.500’den fazla soru üretilmiş; değerlendirme 19 maddelik soru yazım hataları listesi, çeşitlilik, transkriptle anlamsal benzerlik ve %77,4 test doğruluğuna sahip bir LLM tabanlı Bloom sınıflandırıcısıyla yapılmıştır. Yinelemeli iyileştirme kaliteyi artırmış, kazancın çoğu ilk iki turda gelmiş; transkripti önceden temizlemek kaliteyi anlamlı biçimde değiştirmemiştir. Soruların %54’ü iki hatadan azına sahip olduğu için kabul edilebilir bulunmuş, yalnızca %36’sı hedeflenen Bloom düzeyinde çıkmış ve çoğu hedeften daha düşük düzeyde kalmıştır. Yazarlar üretim ve değerlendirmede aynı model ailesinin kullanıldığını, tek bir dersin incelendiğini ve alan uzmanı değerlendirmesinin bulunmadığını belirtmektedir. Projede Bloom düzeyine uyumun en zayıf halka olabileceğini ve bunun ayrıca doğrulanması gerektiğini göstermektedir (Tourigny vd., 2026).</w:t>
      </w:r>
    </w:p>
    <w:p>
      <w:pPr>
        <w:jc w:val="both"/>
      </w:pPr>
      <w:r>
        <w:t xml:space="preserve">Yu vd. (2026), ders videolarından belirli bir zaman damgasına ve hedef cevaba bağlı çoktan seçmeli soru üretimini incelemiştir. Yaklaşık 500 soruluk AIRC veri kümesi, 27 derslik bir lisansüstü ve sekiz derslik bir lisans dersinden oluşmakta, transkriptler Zoom ve YouTube otomatik altyazılarından alınmıştır. Önerilen COSER yönteminde model önce transkript ve slaytlardan cevapla ilgili, zaman damgasına yakın bağlamı seçmekte, bu bağlamı cevabı içeren kısa bilgi cümlelerine yeniden yazmakta ve soruyu bu cümlelerden üretmektedir. GPT-4o-mini, Llama-3.3-70B ve Qwen-2.5-72B ile yapılan deneylerde transkriptin tamamını bağlam olarak vermek çoğu durumda en kötü sonucu vermiş, en iyi bağlam penceresi veri kümesine ve modele göre değişmiş, yeniden yazma adımı 30 ayarın 24’ünde çıkarım (NLI) skorunu artırmıştır. Transkript slayt görüntülerinden daha yararlı bulunmuş, en iyi sonuç ikisinin birlikte kullanımıyla elde edilmiştir. Çalışmanın arXiv sürümünde yalnızca nicel ölçütler kullanılmıştır. Yazarlar veri kümesinin küçük olduğunu, bir ölçütün 512 belirteçle sınırlı kalması nedeniyle bağlamın kesildiğini ve görsel bilginin metne çevrilerek kullanıldığını belirtmektedir. Projede tüm transkript yerine ilgili bölümün seçilmesinin soru kalitesini artırdığını doğrudan göstermektedir (Yu vd., 2026).</w:t>
      </w:r>
    </w:p>
    <w:p>
      <w:pPr>
        <w:jc w:val="both"/>
      </w:pPr>
      <w:r>
        <w:t xml:space="preserve">Li vd. (2025), RAG’in eğitimdeki uygulamalarını sistematik olarak derlemiştir. Web of Science’ta 6 Mart 2025’te 2020–2025 dönemi için yapılan aramadan 45, atıf taramasıyla bulunan 6 çalışma olmak üzere 51 çalışma incelenmiştir. Uygulamalar üç grupta toplanmıştır: etkileşimli öğrenme sistemleri, eğitim içeriği üretimi ve değerlendirmesi, büyük ölçekli eğitim ekosistemleri. Derleme dört temel güçlük belirlemiştir: halüsinasyonun tamamen önlenememesi, bilgi tabanının eksik ya da eski kalması, maliyet ve gecikme ile görsel ve video içerik için sınırlı destek. Her güçlük için çift doğrulama ve insan denetimi gibi çözüm önerileri sunulmaktadır; çalışmada ayrı bir sınırlılık bölümü bulunmamaktadır. Projemi alandaki uygulamalar içinde konumlandırmak için temel kaynaktır; video içeriğinin RAG’de hâlâ zor bir alan olarak ele alınması, projenin katkısını gerekçelendirmek için kullanılabilir (Li vd., 2025).</w:t>
      </w:r>
    </w:p>
    <w:p>
      <w:pPr>
        <w:jc w:val="both"/>
      </w:pPr>
      <w:r>
        <w:t xml:space="preserve">Maity vd. (2025), büyük dil modellerinin okul ders kitabı metinlerinden soru üretme ve Bloom düzeylerine uygun soru üretme başarısını ölçmüştür. Hindistan müfredatından EduProbe veri kümesinin 3.502 bağlamı kullanılmış; GPT-4 Turbo, GPT-3.5 Turbo, Llama-2-70B, Llama-3.1-405B ve Gemini Pro sıfır örnekli ve sekiz örnekli istemlerle sınanmıştır. En az on yıl deneyimli 16 öğretmen soruları beş ölçütte puanlamış, 12 öğretmen soruları Bloom düzeylerine göre sınıflandırmıştır. İnsan yazımı sorular tüm ölçütlerde en iyi sonucu almış, modeller arasında en iyisi GPT-4 Turbo olmuştur; GPT-4 Turbo’nun yanıtlanabilirlik puanı sıfır örnekte 3,42 iken sekiz örnekte 3,88’e çıkmış, sekiz örnekli istem tekrar eden soruları azaltmış ve soruların Bloom düzeylerine dağılımını hedeflenen eşit dağılıma yaklaştırmıştır. Çalışmada ayrı bir sınırlılık bölümü yoktur; yazarlar 16 ve 32 örnekli istemlerin denenmesini gelecek çalışma olarak önermektedir. Projede her Bloom düzeyi için isteme örnek soru eklenmesinin gerekçesidir; kullanılan ölçütler ve tekrar oranı ölçütü kendi değerlendirmemde de kullanılabilir (Maity vd., 2025).</w:t>
      </w:r>
    </w:p>
    <w:p>
      <w:pPr>
        <w:jc w:val="both"/>
      </w:pPr>
      <w:r>
        <w:t xml:space="preserve">Miladi vd. (2025), GPT-4 ve RAG tabanlı bir sohbet ajanının MOOC öğrencilerinin bilgi kazanımına etkisini kontrollü bir deneyle ölçmüştür. Ders metinleri ve video transkriptleri 200 karakter örtüşmeli 2.000 karakterlik parçalara bölünmüş, ada-002 ile vektöre çevrilmiş ve en benzer üç parça GPT-4’e bağlam olarak verilmiştir. Senegal’deki bir üniversiteden 25 öğrenci rastgele iki gruba (13 deney, 12 kontrol) ayrılmış, ön test ve son test uygulanmıştır. Ön test ortalaması iki grupta da 7,2 iken son testte deney grubu 8,9, kontrol grubu 8,2 almış (p = 0,017; etki büyüklüğü d = 1,02); ajanın sistem kullanılabilirlik ölçeği (SUS) puanı 80,4 çıkmıştır. Yazarlar örneklemin küçük ve tek kurumdan olduğunu, çalışma süresinin kısalığı nedeniyle uzun vadeli etkilerin ölçülemediğini belirtmektedir. Projede küçük ölçekli bir bitirme çalışması için uygulanabilir bir değerlendirme planı (ön test/son test ve SUS) sunmaktadır (Miladi vd., 2025).</w:t>
      </w:r>
    </w:p>
    <w:p>
      <w:pPr>
        <w:jc w:val="both"/>
      </w:pPr>
      <w:r>
        <w:t xml:space="preserve">Pradeesh vd. (2025), PDF belgelerinden RAG ile toplu çoktan seçmeli soru üretimini ve bunun bir öğrenme yönetim sistemine entegrasyonunu incelemiştir. PDF 1.000 karakterlik, 200 karakter örtüşmeli parçalara bölünüp FAISS’te indekslenmiş, GPT-4 dört seçenekli sorular üretmiş ve yeni her soru önceki sorularla kosinüs benzerliğine göre karşılaştırılıp benzerliği 0,85’in üzerinde olanlar elenmiştir. Bir Java dersinin beş konusunda öğretmenin yazdığı 25 soru, üç sistemin ürettiği 75 soruyla BERT, CodeBERT ve XLNet benzerlik ölçütleriyle karşılaştırılmış; öğretmen sorularına en yakın sonucu ChatGPT vermiştir. Bir eğitimci paneli çeldiricileri de ilgililik, açıklık ve yanıltıcılık açısından değerlendirmiştir. Yazarlar RAG’in yüksek hesaplama kaynağı gerektirdiğini, soru kalitesinin getirilen bilginin doğruluğuna bağlı olduğunu ve belirsiz ya da çelişkili bilginin kafa karıştırıcı sorulara yol açabildiğini belirtmektedir. Projede parça boyutu, örtüşme ve tekrar eden soruları benzerlik eşiğiyle eleme adımı için uygulanabilir bir örnek sunmaktadır; değerlendirme metin benzerliğine dayandığından soruların pedagojik kalitesi ayrıca denetlenmelidir (Pradeesh vd., 2025).</w:t>
      </w:r>
    </w:p>
    <w:p>
      <w:pPr>
        <w:jc w:val="both"/>
      </w:pPr>
      <w:r>
        <w:t xml:space="preserve">Qu vd. (2025), anlamsal bölütlemenin belgeyi sabit boyutlu parçalara bölmeye göre gerçek bir üstünlük sağlayıp sağlamadığını sınamıştır. Sabit boyutlu, eşik tabanlı anlamsal ve kümeleme tabanlı anlamsal bölütleyiciler; belge erişimi (10 veri kümesi), kanıt cümlesi erişimi (5 veri kümesi) ve erişime dayalı cevap üretimi görevlerinde üç gömme modeliyle karşılaştırılmıştır. Anlamsal bölütleme yalnızca yapay olarak birleştirilmiş, konu çeşitliliği yüksek belgelerde öne çıkmış; gerçek belgelerde sabit boyutlu bölütleme genellikle daha iyi olmuştur. Kanıt erişiminde ve cevap üretiminde farklar küçük kalmış, gömme modeli seçimi bölütleme yönteminden daha belirleyici çıkmıştır. Yazarlar yalnızca cümle düzeyinde bölütleme yapıldığını, parça kalitesini doğrudan ölçen bir ölçüt bulunmadığını ve uygun veri kümesi eksikliği nedeniyle birleştirilmiş belgeler kullanıldığını belirtmektedir. Ders transkriptleri birden çok konuya geçtiği için anlamsal bölütleme işe yarayabilir; ancak projede bu varsayılmayıp kendi verimde sabit boyutlu bölütlemeyle karşılaştırılmalı, gömme modeli seçimi de ayrıca test edilmelidir (Qu vd., 2025).</w:t>
      </w:r>
    </w:p>
    <w:p>
      <w:pPr>
        <w:jc w:val="both"/>
      </w:pPr>
      <w:r>
        <w:t xml:space="preserve">Ray vd. (2025), çok kipli dil modellerinin çevrim içi ders videolarından öğrenci sorularına uzun cevaplar verebilme başarısını ölçmek için EduVidQA veri kümesini oluşturmuştur. Veri kümesinde 296 bilgisayar bilimi videosundan 5.252 soru-cevap çifti bulunmaktadır: 270 soru YouTube yorumlarından alınıp alan uzmanlarınca cevaplanmış, 4.982 soru ise GPT-4o ile elle düzeltilmiş ders transkriptlerinden üretilmiş ve Bloom düzeylerine göre etiketlenmiştir (100 örnekte insanla uyum κ = 0,83). 52 öğrenciyle yapılan ön ankette %67,9’u videoyu izlerken soru sorma ihtiyacı duymuş, yalnızca %17’si yorumlarda soru sormuştur. Altı model, sorunun zaman damgasının ±2 dakikalık penceresinden alınan transkript ve kareyle sınanmış; gerçek öğrenci sorularında modeller sıfır atışta zayıf kalmış, sentetik veriyle LoRA ince ayarı tüm ölçütlerde iyileşme sağlamıştır. Soruların gerçek sette %44’ü, sentetik sette %46’sı görsele bağımlılık işaretleri taşımaktadır. Yazarlar çalışmanın yalnızca bilgisayar bilimini kapsadığını, gerçek soru setinin küçük olduğunu, nitel ölçütlerin GPT-4o’ya bağlı olduğunu ve yalnızca küçük açık kaynak modellerin denendiğini belirtmektedir. Çalışma soru üretimini değil öğrenci sorusunu cevaplamayı ele almakla birlikte, zaman damgası etrafında dar bir bağlam seçme, Bloom etiketinin otomatik doğrulanması ve görsele bağımlı sorular açısından projeye doğrudan yaklaşımlar sunmaktadır (Ray vd., 2025).</w:t>
      </w:r>
    </w:p>
    <w:p>
      <w:pPr>
        <w:jc w:val="both"/>
      </w:pPr>
      <w:r>
        <w:t xml:space="preserve">Yao vd. (2025), tıp lisans sınavı (USMLE) tarzı çoktan seçmeli soruları klinik vakalardan üreten ve yinelemeli öz-eleştiri ile düzeltmeyle iyileştiren MCQG-SRefine çerçevesini önermiştir. Çerçevede GPT-4 önce konu ve test noktasına bağlı olarak bağlam, soru, doğru cevap ve çeldiricileri üretmekte (ColBERT ile getirilen örnekler isteme eklenmektedir), ardından soruyu kendisi cevaplamakta, her bileşeni bir ölçüt listesine göre eleştirmekte ve eleştiriye göre düzeltmektedir; puan eşiği aşılana ya da dört tura ulaşılana kadar döngü sürmektedir. PMC-Patients veri kümesinden insan ve model tarafından belirlenen konularla sırasıyla 373 ve 385 soru üretilmiş, iki tıp öğrencisi ve bir hekim değerlendirmiştir. MCQG-SRefine soruları temel GPT-4 sorularına karşı %72,5 kazanma, %10 beraberlik ve %17,5 kaybetme oranıyla tercih edilmiş; uzmanların verdiği konu ve test noktalarıyla zor soru oranı belirgin biçimde artmıştır. En iyi puanın geldiği tur her zaman sonuncu olmamış, uzman konularında bu puanların %30’u ilk turda elde edilmiştir. Yazarlar bulguların tıp alanıyla sınırlı olduğunu, soruyu üreten modelin kendi çıktısını da değerlendirmesinin önyargı riski taşıdığını ve aşırı öz-eleştirinin sorunlu olabileceğini belirtmektedir. Projede soru üretiminden sonra eleştiri-düzeltme turlarının az sayıda tutulması ve değerlendirmenin üretici modelden bağımsız yapılması için gerekçedir (Yao vd., 2025).</w:t>
      </w:r>
    </w:p>
    <w:p>
      <w:pPr>
        <w:jc w:val="both"/>
      </w:pPr>
      <w:r>
        <w:t xml:space="preserve">Arif vd. (2024), çevrim içi bir veri bilimi yüksek lisans programına ait 11 dersin video transkriptlerinden büyük dil modelleriyle üretilen çoktan seçmeli soruların kalitesini incelemiştir. Üretim akışında her ders önce özetlenmiş, ardından konu bütünlüğüne göre dört ya da beş bölüme ayrılmış ve her bölümden GPT-3.5 veya GPT-4 ile soru üretilmiştir. Değerlendirme üç biçimde yapılmıştır: iki uzman öğrenci 100 soruyu elle puanlamış, 1.709 (GPT-3.5) ve 1.850 (GPT-4) soru 19 maddelik soru yazım hataları listesine göre kural tabanlı olarak denetlenmiş, ayrıca 100’er soru bir dil modeliyle değerlendirilmiştir. İnsan değerlendirmesinde soruların %51–65’i hatasız bulunurken kural tabanlı denetimde soruların yalnızca %15–18’i tüm ölçütleri geçmiş, soru başına ortalama 1,6 hata saptanmıştır; en sık görülen hata akla yatkın olmayan çeldiricilerdir. Yazarlar ayrıca, yalnızca ekranda görünen bir ögeye atıf yapan soruları yakalamak için “bağlamsal özgüllük” adlı yeni bir ölçüt tanımlamıştır. Çalışmadaki transkriptler insan destekli ve çok düşük hata oranlıdır; yazarlar sonuçların tek bir program, tek bir alan ve İngilizce ile sınırlı olduğunu, daha yüksek hata oranlı transkriptlerde soru kalitesinin nasıl etkileneceğinin ayrıca incelenmesi gerektiğini belirtmektedir. Projemde transkriptten özet, bölümleme ve soru üretimi akışının aynı mantıkla kurulabileceğini, ancak Türkçe otomatik transkriptlerde sonuçların farklı çıkabileceğini göstermektedir (Arif vd., 2024).</w:t>
      </w:r>
    </w:p>
    <w:p>
      <w:pPr>
        <w:jc w:val="both"/>
      </w:pPr>
      <w:r>
        <w:t xml:space="preserve">Barnett vd. (2024), erişimle zenginleştirilmiş üretim sistemlerinin geliştirilmesi sırasında karşılaşılan sorunları üç vaka çalışmasıyla incelemiştir. Vakalar bir araştırma makalesi çözümleme aracı, Deakin Üniversitesi’nde 200 öğrencilik bir derste pilot uygulanan ve ders videolarının Whisper ile yazıya dökülüp parçalandığı bir yapay zekâ öğretmen asistanı ve BioASQ veri kümesine dayalı bir biyomedikal soru-cevap sistemidir. Yazarlar yedi hata noktası tanımlamıştır: cevabı belgelerde bulunmayan soruya yanıt uydurulması, ilgili belgenin üst sıralara gelmemesi, getirilen belgenin bağlama girmemesi, bağlamdaki cevabın modelce çıkarılamaması, istenen biçimin göz ardı edilmesi, cevabın uygun olmayan ayrıntı düzeyinde verilmesi ve eksik cevap. Getirilen parçaya dosya adı ve parça numarası gibi üst verilerin eklenmesinin erişimi iyileştirdiği, bir RAG sisteminin doğrulamasının ancak çalışırken yapılabildiği ve parça boyutu, gömme stratejisi ile istemlerin sürekli kalibrasyon gerektirdiği vurgulanmıştır. Yazarlar biyomedikal değerlendirmenin alan uzmanı olmayan kişilerce yapıldığını ve iki vakanın verilerinin gizlilik nedeniyle paylaşılamadığını belirtmektedir. Projede erişim, bağlam ve üretim adımlarını ayrı ayrı izleyecek bir test planı için doğrudan bir kontrol listesi sunmaktadır (Barnett vd., 2024).</w:t>
      </w:r>
    </w:p>
    <w:p>
      <w:pPr>
        <w:jc w:val="both"/>
      </w:pPr>
      <w:r>
        <w:t xml:space="preserve">Chen vd. (2024), 100’ü aşkın dili destekleyen, yoğun, seyrek ve çok vektörlü erişim yöntemlerini tek modelde birleştiren ve 8.192 belirtece kadar girdi alabilen M3-Embedding gömme modelini tanıtmıştır. Model, 194 dilden yaklaşık 1,2 milyar metin çiftiyle üç aşamada eğitilmiş; üç erişim yönteminin skorlarının öğretmen sinyali olarak birleştirildiği bir öz-bilgi damıtma yöntemi kullanılmıştır. MIRACL kıyaslamasında yoğun erişim 69,2, üç yöntemin birlikte kullanımı 71,5 nDCG@10 skoru almış, karşılaştırılan mE5-large ise 66,6’da kalmıştır. Uzun belge erişiminde (MLDR) seyrek erişim yoğun erişimden belirgin biçimde iyi sonuç vermiş (62,2’ye karşı 52,5), üç yöntemin birleşimi 65,0’a ulaşmıştır. Yazarlar, sonuçların farklı veri kümelerine ve gerçek senaryolara genellenmesinin, çok uzun belgelerdeki hesaplama maliyetinin ve diller arası başarım farklarının daha fazla incelenmesi gerektiğini belirtmektedir. Makalede Türkçe yalnızca Türkçe sorgularla İngilizce Vikipedi’den erişimin ölçüldüğü MKQA kıyaslamasında yer almakta, Türkçe sorguyla Türkçe belge bulma başarısı doğrudan ölçülmemektedir. Projede gömme modeli seçimini ve yoğun ile seyrek erişimi birleştirme seçeneğini gerekçelendirmekte, ancak Türkçe transkriptlerdeki başarımın kendi verimde ayrıca ölçülmesi gerektiğini göstermektedir (Chen vd., 2024).</w:t>
      </w:r>
    </w:p>
    <w:p>
      <w:pPr>
        <w:jc w:val="both"/>
      </w:pPr>
      <w:r>
        <w:t xml:space="preserve">Doughty vd. (2024), yükseköğretimdeki Python programlama derslerinde öğrenme çıktılarına bağlı çoktan seçmeli soruların GPT-4 ile üretilmesini incelemiştir. Geliştirilen akışta kullanıcıdan yalnızca ders bilgisi ve modül düzeyindeki öğrenme çıktısı alınmakta, çıktının Bloom düzeyi ince ayarlı bir BERT sınıflandırıcısıyla tahmin edilmekte ve bu düzey bir ya da birkaç soru türüne (bilgi hatırlama, boşluk doldurma, senaryo, çıktı tahmini, kod analizi) eşlenmektedir. Altı dersten 246 öğrenme çıktısı için üretilen 651 soru ile insan yazımı 449 soru, yedi öğrenci ve altı eğitmenden oluşan 13 değerlendirici tarafından bir ölçütle puanlanmıştır. Üretilen soruların kalitesi insan yazımı sorulara yakın bulunmuş, soruların %81,7’si tüm ölçütleri geçmiştir. Buna karşılık üretilen soruların %4,9’unda birden fazla doğru seçenek (insan yazımında %1,1) ve %4,0’ında doğru cevabı ele veren çeldirici (%0,9) görülmüştür; öğrenme çıktısıyla uyum ise üretilen sorularda belirgin biçimde daha iyidir. Yazarlar değerlendirici havuzunun sınırlı olduğunu, insan yazımı soruların öğrenme çıktılarına elle eşlendiğini, soruların gerçek sınıfta denenmediğini ve çalışmanın yalnızca Python derslerini kapsadığını belirtmektedir. Projede Bloom düzeyini soru türüne eşleyen bir istem tasarımı ve birden fazla doğru cevap gibi hatalar için ayrı bir denetim adımı açısından örnek oluşturmaktadır (Doughty vd., 2024).</w:t>
      </w:r>
    </w:p>
    <w:p>
      <w:pPr>
        <w:jc w:val="both"/>
      </w:pPr>
      <w:r>
        <w:t xml:space="preserve">Elkins vd. (2024), öğretmenlerin büyük dil modelleriyle üretilen sorulardan yararlanarak quiz hazırlamasını incelemiştir. GPT-3.5 ile biyoloji ve makine öğrenmesi alanlarındaki Vikipedi paragraflarından (120 girdi bağlamı) iki tür soru üretilmiştir: yalnızca soru istenen basit istem ve her Bloom düzeyinden bir soru üreten, beş örnekli kontrollü istem. 24 öğretmen üçer quiz hazırlamıştır: elle, basit sorularla ve Bloom sorularıyla. Quiz kalitesini sekiz bağımsız değerlendirici puanlamıştır. Üç quiz türünün kalitesi benzer çıkmış, üretilen sorular kullanıldığında quizlerin kaynak metni kapsama oranı artmıştır. Öğretmenler Bloom düzeyine göre üretilen soruları daha çok doğrudan quize almış ve bu yöntemi açıkça tercih etmiştir. Yazarlar quiz yazım ortamının yapay biçimde kontrol edildiğini, tek bir model, iki alan ve İngilizce kullanıldığını, öğrenci boyutunun ele alınmadığını belirtmektedir. Projede soruları Bloom düzeylerine göre üretip öğretmenin seçip düzenleyebileceği bir arayüz tasarımı için dayanak oluşturmaktadır (Elkins vd., 2024).</w:t>
      </w:r>
    </w:p>
    <w:p>
      <w:pPr>
        <w:jc w:val="both"/>
      </w:pPr>
      <w:r>
        <w:t xml:space="preserve">Es vd. (2024), erişimle zenginleştirilmiş üretim sistemlerini insan tarafından hazırlanmış doğru cevaplara ihtiyaç duymadan değerlendiren RAGAs çerçevesini önermiştir. Üç ölçüt tanımlanmıştır: cevabın bağlamdan çıkarılabilir ifadelerden oluşma oranı (sadakat), cevaptan türetilen soruların asıl soruya benzerliği (cevap ilgililiği) ve bağlamdan cevap için gerekli cümlelerin oranı (bağlam ilgililiği); hesaplamalar gpt-3.5-turbo-16k ile yapılmıştır. Çerçeve, 2022 sonrası olayları anlatan 50 Vikipedi sayfasından oluşturulan WikiEval veri kümesinde sınanmış, insan yargısıyla uyum sadakatte 0,95, cevap ilgililiğinde 0,78 ve bağlam ilgililiğinde 0,70 bulunmuştur; modele doğrudan 0–10 arası puan verdirme yöntemi ise 0,72, 0,52 ve 0,63 değerlerinde kalmıştır. Yazarlar bağlam ilgililiğinin en zor ölçüt olduğunu ve özellikle uzun bağlamlarda modelin gerekli cümleleri seçmekte zorlandığını belirtmektedir. Projede sadakat ölçütü, üretilen sorunun ve cevabının transkript bölümünde bulunup bulunmadığını denetlemek için kullanılabilir; ancak RAGAs soru-cevap sistemleri için tasarlandığından çıktımıza uyarlanması gerekecektir (Es vd., 2024).</w:t>
      </w:r>
    </w:p>
    <w:p>
      <w:pPr>
        <w:jc w:val="both"/>
      </w:pPr>
      <w:r>
        <w:t xml:space="preserve">Henkel vd. (2024), ortaokul matematik öğrencilerinin kavramsal sorularına RAG ile verilen cevaplarda kaynağa bağlılık ile insan tercihi arasındaki dengeyi incelemiştir. Sistemde GPT-3.5-turbo, ada-002 gömmeleri ve OpenStax Prealgebra ders kitabı kullanılmış; bir çevrim içi matematik forumundan seçilen 51 gerçek öğrenci sorusu için üç istem koşulu karşılaştırılmıştır: RAG kullanılmayan, kitaptaki içeriğin yalnızca ilgiliyse kullanılmasını isteyen (düşük yönlendirmeli) ve kitap bölümüne atıf yapılmasını isteyen (yüksek yönlendirmeli). Dokuz eğitimci ve eğitim teknolojisi tasarımcısı cevapları sıralamıştır. Düşük yönlendirmeli cevaplar tercih edilmiş, yüksek yönlendirmeli ve yönlendirmesiz cevaplar arasında anlamlı fark çıkmamış; getirilen belgenin ilgililiği tercih sırasıyla anlamlı biçimde ilişkili bulunmamıştır. Değerlendiriciler arası uyum düşüktür (kaynağa bağlılık için Krippendorff α = 0,35). Yazarlar ortaokul öğrencilerinden doğrudan tercih verisi bulunmadığını, tek turlu cevapların incelendiğini ve çalışmanın ön adım niteliğinde olduğunu belirtmektedir. Projede istemin transkripte ne kadar bağlı kalmasının istendiğinin ayrıca sınanması gerektiğini göstermektedir (Henkel vd., 2024).</w:t>
      </w:r>
    </w:p>
    <w:p>
      <w:pPr>
        <w:jc w:val="both"/>
      </w:pPr>
      <w:r>
        <w:t xml:space="preserve">Jacobs ve Jaschke (2024), programlama alıştırmalarına GPT-4 ile verilen geri bildirime ders kayıtlarındaki içeriği RAG ile eklemeyi incelemiştir. Ders kayıtları Whisper ile zaman damgalı yazıya dökülmüş, 64 karakter örtüşmeli 512 karakterlik parçalara bölünmüş, ada-002 ile vektöre çevrilmiş ve metin, zaman damgası ve video adıyla birlikte pgvector’da saklanmıştır. İki aşamalı bir istem zincirinde GPT-4 önce öğrencinin kodundaki eksik kavramlar için arama sorguları üretmekte, ardından getirilen parçalarla geri bildirimi yazıp videonun ilgili anına bağlantı eklemektedir. 15 öğrenciyle yapılan değerlendirmede öğrenciler video bağlantılarını yararlı bulmuş, SUS puanı 74,8 çıkmıştır. Ders içerikli geri bildirimde ilk kelimenin gelmesi yaklaşık 18 saniye sürerken içeriksiz geri bildirimde 1–2 saniye sürmüştür. Yazarlar örneklemin 15 kişiyle sınırlı olduğunu, bilgi ve beceri kazanımının ölçülmediğini ve karakter sayısına dayalı bölütlemenin basit kaldığını belirtmektedir. Çalışma projeye en yakın mimarilerden birini sunmakta; zaman damgalı parçalar, vektör veri tabanı ve videonun ilgili anına bağlantı yapısının yanında yanıt süresinin de ölçülmesi gerektiğini göstermektedir (Jacobs ve Jaschke, 2024).</w:t>
      </w:r>
    </w:p>
    <w:p>
      <w:pPr>
        <w:jc w:val="both"/>
      </w:pPr>
      <w:r>
        <w:t xml:space="preserve">Lodovico Molina vd. (2024), üniversite ders slaytlarındaki metinden büyük dil modelleriyle soru üretimini öğrenci değerlendirmeleriyle karşılaştırmıştır. Bir örüntü tanıma dersinin 21 slaydı kullanılmış; önce Llama 2-Chat 13B ile slaytlardan cevap ifadeleri çıkarılmış, ardından GPT-3.5, Flan-T5 XXL ve Llama 2-Chat 13B her cevap için soru üretmiştir. 46 öğrenci 246 soruyu açıklık, ilgililik, zorluk, slayta bağlılık ve soru-cevap uyumu açısından değerlendirmiş, toplam 5.339 değerlendirme toplanmıştır. Genel puanlar yüksek çıkmış; Llama 2 ve GPT-3.5 sorularının %80’i açıklıkta 4 ve üzeri puan almış, en belirgin fark soru-cevap uyumunda ortaya çıkmış ve en iyi sonucu GPT-3.5 vermiştir. Yazarlar modellerin “nedir” türü genel sorulara yöneldiğini, açıklık ve uyumun resmî sınavlar için yeterince güvenilir olmadığını, alıştırma ve hızlı tanı testleri için ise kabul edilebilir olduğunu ve en iyi modelin ücretsiz olmadığını belirtmektedir. Projede üretilen soruların kullanım amacını alıştırma soruları olarak tanımlamak için dayanak oluşturmaktadır (Lodovico Molina vd., 2024).</w:t>
      </w:r>
    </w:p>
    <w:p>
      <w:pPr>
        <w:jc w:val="both"/>
      </w:pPr>
      <w:r>
        <w:t xml:space="preserve">N. F. Liu vd. (2024), dil modellerinin uzun girdi bağlamını, ilgili bilginin konumuna göre ne kadar iyi kullandığını iki görevle incelemiştir: çok belgeli soru-cevap ve sentetik anahtar-değer arama. NaturalQuestions-Open’dan 2.655 soru kullanılmış, her soruda cevabı içeren tek bir belge ile ilgisiz belgeler verilmiş ve cevabın bulunduğu belgenin yeri değiştirilmiştir. MPT-30B-Instruct, LongChat-13B, GPT-3.5-Turbo ve Claude-1.3 sınanmıştır. Başarım, ilgili belge girdinin başında ya da sonunda olduğunda yüksek, ortadayken belirgin biçimde düşük çıkmıştır (U biçimli eğri). GPT-3.5-Turbo’da 20 belgeli senaryoda doğru cevap oranı başta %75,8, ortada %53,8 iken, hiç belge verilmediğinde %56,1’dir. Bağlam penceresi genişletilmiş model sürümleri aynı girdide daha iyi değildir; 20 belgeden 50 belgeye çıkmak başarıyı yalnızca yaklaşık %1–1,5 artırmıştır. Yazarlar nedenler konusunda yalnızca ön incelemeler yaptıklarını belirtmektedir. Projede transkriptin tamamını isteme koymak yerine az sayıda ilgili bölümün seçilmesini ve en ilgili bölümün bağlamın başına konmasını gerekçelendirmekte; ancak bulgular İngilizce deneylerden geldiğinden Türkçe için ayrıca sınanmalıdır (N. F. Liu vd., 2024).</w:t>
      </w:r>
    </w:p>
    <w:p>
      <w:pPr>
        <w:jc w:val="both"/>
      </w:pPr>
      <w:r>
        <w:t xml:space="preserve">R. Liu vd. (2024), Harvard Üniversitesi’nin giriş düzeyindeki bilgisayar bilimi dersi CS50’ye GPT-4 tabanlı yapay zekâ araçlarını entegre etmiş ve deneyimlerini aktarmıştır. Forum yanıtlarında kullanılan RAG bileşeninde ders altyazıları 30 saniyelik parçalara bölünmüş, text-embedding-ada-002 ile vektöre çevrilmiş ve ChromaDB’de saklanmış; öğrenci sorusuna en yakın parçalar GPT-4’e bağlam olarak verilmiştir. Ayrıca istem enjeksiyonuna karşı bir koruma ve kullanımı sınırlayan bir mekanizma eklenmiştir. Yaz döneminde forumdaki yanıtların doğruluğu bir öğretim elemanınca incelenmiş; ders içeriğine ilişkin yanıtların 25’te 22’si (%88), idari konulardaki yanıtların 39’da 30’u (%77) doğru bulunmuştur. Güz döneminde yaklaşık 500 kampüs öğrencisine uygulanan dönem sonu anketine yanıt verenlerin %53’ü araçları çok sevdiğini, %33’ü sevdiğini belirtmiştir. Tüm forum yanıtları bir öğretim elemanının onayına, düzeltmesine ya da silmesine tabi tutulmuştur. Yazarlar aracın yanlış olduğunda bile güvenle konuştuğunu, güz dönemindeki %39’luk onay oranının gerçek doğruluğu olduğundan düşük gösterdiğini düşündüklerini ancak bunun henüz bir varsayım olduğunu belirtmektedir. Projede ders altyazısı, ChromaDB ve RAG mimarisinin gerçek ölçekte uygulanmış bir örneğini ve insan onayı mekanizmasının gerekçesini sunmaktadır (R. Liu vd., 2024).</w:t>
      </w:r>
    </w:p>
    <w:p>
      <w:pPr>
        <w:jc w:val="both"/>
      </w:pPr>
      <w:r>
        <w:t xml:space="preserve">Miladi vd. (2024), bir yapay zekâ MOOC’unun ilk modülündeki 33 Fransızca alıştırmada (doğru/yanlış, çoktan seçmeli, eşleştirme ve boşluk doldurma) standart GPT-4, RAG destekli GPT-4 ve öğrencilerin başarısını karşılaştırmıştır. RAG sisteminde ders içerikleri ada-002 ile vektöre çevrilmiş ve kosinüs benzerliğine göre seçilen parçalar, modele “öğrenme arkadaşı” kişiliği veren bir istemle GPT-4’e verilmiştir. Cevaplar bir doktora öğrencisince doğruluk ve ilgililik açısından puanlanmış; standart GPT-4 %81, RAG destekli GPT-4 %85 doğruluk elde etmiş, ilgililik %81 ve %84 olmuştur. 20 öğrencinin ortalaması %60’tır. RAG yararı soru türüne göre değişmiş, boşluk doldurmada RAG’li model %79’dan %71’e gerilemiştir. Yazarlar örneklemin küçük olduğunu, tek bir MOOC ve yalnızca Fransızca alıştırmalarla çalıştıklarını belirtmektedir. Projede RAG’in katkısının küçük ve göreve bağlı olabileceğini göstermekte; sistemin RAG’li ve RAG’siz sürümlerinin kendi verimde karşılaştırılmasını gerekçelendirmektedir (Miladi vd., 2024).</w:t>
      </w:r>
    </w:p>
    <w:p>
      <w:pPr>
        <w:jc w:val="both"/>
      </w:pPr>
      <w:r>
        <w:t xml:space="preserve">Moore vd. (2024), çoktan seçmeli soruları 19 maddelik soru yazım hataları listesiyle otomatik ve ölçeklenebilir biçimde değerlendiren SAQUET aracını tanıtmıştır. Araç metin eşleştirme, doğal dil işleme (gömmeler ve varlık tanıma) ve seçili noktalarda GPT-4 kullanmakta; beş alandan (kimya, istatistik, bilgisayar bilimi, beşeri bilimler, sağlık) insanlarca etiketlenmiş 271 soruyla sınanmıştır. Çalışma önce karmaşıklık, çeşitlilik, dilbilgisi hatası, bilişsel karmaşıklık ve cevaplanabilirlik gibi yaygın ölçütlerin hatalı ve hatasız soruları ayırt edemediğini göstermiştir. Araç etiket bazında %94,13 doğruluk elde etmiş, ancak yazarlar bu değerin çoğu hatanın soruların çoğunda hiç bulunmamasından kaynaklanan bir şişkinlik içerdiğini belirtmiştir; 19 etiketin tamamının birebir tutması %38, soruyu kabul edilebilir ya da edilemez diye ayırmada insanlarla uyum %75,3’tür ve araç insanlardan daha fazla hata bulmaktadır. Yazarlar büyük dil modellerinin kara kutu olmasını, sürüm değişikliklerinde sonuçların değişebilmesini ve önyargı riskini sınırlılık olarak belirtmektedir. Projede üretilen soruları otomatik denetleyecek bir katman için açık kaynaklı bir ölçüt listesi sunmakta; aracın İngilizce sorularda geliştirildiği göz önüne alındığında Türkçedeki başarımının ayrıca denenmesi gerekmektedir (Moore vd., 2024).</w:t>
      </w:r>
    </w:p>
    <w:p>
      <w:pPr>
        <w:jc w:val="both"/>
      </w:pPr>
      <w:r>
        <w:t xml:space="preserve">Polat vd. (2024), Whisper’ın Türkçe konuşma tanıma başarımını beş Türkçe veri kümesinde (METU MS, TNST, FLEURS, Mozilla Common Voice ve TASRT) ölçmüş ve LoRA ile ince ayarın etkisini incelemiştir. Önce Whisper’ın beş boyutu denenmiş, veri kümelerindeki yazım hataları elle düzeltilmiş, ardından large-v2 ile large-v3 ve Google USM karşılaştırılmıştır. Model büyüdükçe hata oranı düşmüş; large-v3’te kelime hata oranı veri kümesine göre %4,3 ile %14,2 arasında kalmış ve large-v3 çoğu veri kümesinde large-v2’den ve Google USM’den daha iyi sonuç vermiştir. LoRA ile ince ayar yapılan large-v2’de kelime hata oranı en çok Common Voice’ta %49, FLEURS’ta %43 azalmış; çoğunluğu 30 saniyeden uzun kayıtlardan oluşan TASRT’de iyileşme yalnızca %2,47 olmuştur. Large-v3’e ince ayar denemesi veri ve donanım yetersizliği nedeniyle başarısız olmuş, 8 bit formatta ince ayar modelin halüsinasyonunu artırmıştır. Yazarlar mevcut Türkçe veri kümelerinin ince ayar için boyut ve hata oranı açısından yetersiz olduğunu, ekleri birleşik ya da ayrı yazma gibi hataların Türkçeye özgü sorunlar olduğunu belirtmektedir. Projede Türkçe ders videoları için large-v3 kullanımını gerekçelendirmekte, uzun kayıtlarda iyileşmenin sınırlı kalabileceği uyarısıyla transkript kalitesinin kendi videolarımda ayrıca ölçülmesi gerektiğini göstermektedir (Polat vd., 2024).</w:t>
      </w:r>
    </w:p>
    <w:p>
      <w:pPr>
        <w:jc w:val="both"/>
      </w:pPr>
      <w:r>
        <w:t xml:space="preserve">Scaria vd. (2024), beş büyük dil modelinin (Mistral-7B, Llama-2-70B, PaLM 2, GPT-3.5 ve GPT-4) revize Bloom taksonomisinin altı düzeyinde soru üretme başarısını ve istemdeki bilgi miktarının etkisini incelemiştir. Bir lisansüstü veri bilimi dersinin 17 konusu için beş farklı istem stratejisiyle 2.550 soru üretilmiş; modellere ders içeriği verilmemiş, sorular modellerin kendi bilgisiyle üretilmiştir. İki uzman soruları dokuz maddelik bir ölçekle değerlendirmiş, Gemini Pro da aynı ölçekle otomatik değerlendirme yapmıştır. Soruların %78’i yüksek kaliteli bulunmuş, bunların %65,56’sı istenen Bloom düzeyiyle eşleşmiştir. En iyi sonuçları GPT-4 ve GPT-3.5 vermiş; en iyi strateji düşünce zinciri, Bloom düzeyinin açıklaması ve uzman yazımı örnek soru içeren istem olmuş, en fazla bilgiyi içeren istem başarıyı düşürmüştür. Modellerin çoğu “yaratma” düzeyinde kaliteli soru üretememiş, Gemini Pro’nun değerlendirmesi uzmanlarınkiyle belirgin biçimde uyuşmamıştır. Yazarlar modellerin ders içeriğine erişmeden çalıştığını, uzman değerlendirmesinin öznel olabileceğini ve yalnızca veri bilimi konularının denendiğini belirtmekte, ders materyalinin modele verilmesini gelecek çalışma olarak önermektedir. Projedeki RAG yaklaşımı bu önerinin uygulaması niteliğindedir; istem tasarımında ise düşünce zinciri, düzey açıklaması ve örnek soruyu aşırı bilgi yüklemeden birlikte kullanma yönünde dayanak oluşturmaktadır (Scaria vd., 2024).</w:t>
      </w:r>
    </w:p>
    <w:p>
      <w:pPr>
        <w:jc w:val="both"/>
      </w:pPr>
      <w:r>
        <w:t xml:space="preserve">Taneja vd. (2024), ChatGPT tabanlı bir sanal öğretim asistanı olan Jill Watson’ı tanıtmıştır. Sistem eğitim ya da ince ayar gerektirmeden çalışmakta; sorudaki gönderme ilişkilerini çözen bir adım, soruyu uygun beceriye yönlendiren bir sınıflandırıcı ve bağlamsal cevaplama becerisi içermektedir. Ders belgeleri en az 500 karakterlik, %50 örtüşmeli parçalara ayrılmakta, yoğun parça erişimiyle en ilgili 20 parça beşerli gruplar hâlinde modele verilmekte, cevabın bağlamdan çıkarılıp çıkarılamadığı metinsel çıkarım kontrolüyle denetlenmekte ve cevapta belge ile sayfa numarası belirtilmektedir. Bir yapay zekâ dersinin programından, e-kitabından ve video transkriptlerinden dört öğrencinin hazırladığı 150 soruyla yapılan değerlendirmede Jill Watson soruların %76,7’sine doğru yanıt vermiş; OpenAI Assistants hizmeti %31,3, eski Jill Watson %26,0’da kalmıştır. Gerçek derste ortalama yanıt süresi 6,8 saniye ölçülmüştür. Yazarlar uzun menzilli soruların (“bir bölümü özetle” gibi) sınırlı bağlamla cevaplanamadığını, modüllerden birindeki hatanın zincirleme yayılabildiğini ve güvenlik için bazı cevaplanabilir soruların da reddedilebildiğini belirtmektedir. Projede kaynak gösterme, çıkarım kontrolü ve parça yapısı açısından bir örnek oluşturmaktadır (Taneja vd., 2024).</w:t>
      </w:r>
    </w:p>
    <w:p>
      <w:pPr>
        <w:keepNext/>
        <w:pageBreakBefore/>
        <w:spacing w:after="120"/>
        <w:ind w:left="0" w:firstLine="0"/>
      </w:pPr>
      <w:r>
        <w:rPr>
          <w:b/>
          <w:sz w:val="22"/>
          <w:szCs w:val="22"/>
        </w:rPr>
        <w:t xml:space="preserve">Tablo 1. </w:t>
      </w:r>
      <w:r>
        <w:rPr>
          <w:sz w:val="22"/>
          <w:szCs w:val="22"/>
        </w:rPr>
        <w:t xml:space="preserve">İncelenen çalışmaların özeti</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tblPr>
      <w:tblGrid>
        <w:gridCol w:w="1250"/>
        <w:gridCol w:w="1750"/>
        <w:gridCol w:w="2050"/>
        <w:gridCol w:w="1800"/>
        <w:gridCol w:w="1938"/>
      </w:tblGrid>
      <w:tr>
        <w:trPr>
          <w:cantSplit/>
          <w:tblHeader/>
        </w:trPr>
        <w:tc>
          <w:tcPr>
            <w:tcW w:w="1250" w:type="dxa"/>
            <w:shd w:val="clear" w:color="auto" w:fill="D9E2F3"/>
          </w:tcPr>
          <w:p>
            <w:pPr>
              <w:spacing w:before="0" w:after="0" w:line="240" w:lineRule="auto"/>
              <w:ind w:left="0" w:firstLine="0"/>
              <w:jc w:val="left"/>
            </w:pPr>
            <w:r>
              <w:rPr>
                <w:b/>
                <w:sz w:val="16"/>
                <w:szCs w:val="16"/>
              </w:rPr>
              <w:t xml:space="preserve">Yazar</w:t>
            </w:r>
          </w:p>
        </w:tc>
        <w:tc>
          <w:tcPr>
            <w:tcW w:w="1750" w:type="dxa"/>
            <w:shd w:val="clear" w:color="auto" w:fill="D9E2F3"/>
          </w:tcPr>
          <w:p>
            <w:pPr>
              <w:spacing w:before="0" w:after="0" w:line="240" w:lineRule="auto"/>
              <w:ind w:left="0" w:firstLine="0"/>
              <w:jc w:val="left"/>
            </w:pPr>
            <w:r>
              <w:rPr>
                <w:b/>
                <w:sz w:val="16"/>
                <w:szCs w:val="16"/>
              </w:rPr>
              <w:t xml:space="preserve">Amaç</w:t>
            </w:r>
          </w:p>
        </w:tc>
        <w:tc>
          <w:tcPr>
            <w:tcW w:w="2050" w:type="dxa"/>
            <w:shd w:val="clear" w:color="auto" w:fill="D9E2F3"/>
          </w:tcPr>
          <w:p>
            <w:pPr>
              <w:spacing w:before="0" w:after="0" w:line="240" w:lineRule="auto"/>
              <w:ind w:left="0" w:firstLine="0"/>
              <w:jc w:val="left"/>
            </w:pPr>
            <w:r>
              <w:rPr>
                <w:b/>
                <w:sz w:val="16"/>
                <w:szCs w:val="16"/>
              </w:rPr>
              <w:t xml:space="preserve">Yöntem</w:t>
            </w:r>
          </w:p>
        </w:tc>
        <w:tc>
          <w:tcPr>
            <w:tcW w:w="1800" w:type="dxa"/>
            <w:shd w:val="clear" w:color="auto" w:fill="D9E2F3"/>
          </w:tcPr>
          <w:p>
            <w:pPr>
              <w:spacing w:before="0" w:after="0" w:line="240" w:lineRule="auto"/>
              <w:ind w:left="0" w:firstLine="0"/>
              <w:jc w:val="left"/>
            </w:pPr>
            <w:r>
              <w:rPr>
                <w:b/>
                <w:sz w:val="16"/>
                <w:szCs w:val="16"/>
              </w:rPr>
              <w:t xml:space="preserve">Kullanılan materyal</w:t>
            </w:r>
          </w:p>
        </w:tc>
        <w:tc>
          <w:tcPr>
            <w:tcW w:w="1938" w:type="dxa"/>
            <w:shd w:val="clear" w:color="auto" w:fill="D9E2F3"/>
          </w:tcPr>
          <w:p>
            <w:pPr>
              <w:spacing w:before="0" w:after="0" w:line="240" w:lineRule="auto"/>
              <w:ind w:left="0" w:firstLine="0"/>
              <w:jc w:val="left"/>
            </w:pPr>
            <w:r>
              <w:rPr>
                <w:b/>
                <w:sz w:val="16"/>
                <w:szCs w:val="16"/>
              </w:rPr>
              <w:t xml:space="preserve">Sonuç</w:t>
            </w:r>
          </w:p>
        </w:tc>
      </w:tr>
      <w:tr>
        <w:trPr>
          <w:cantSplit/>
        </w:trPr>
        <w:tc>
          <w:tcPr>
            <w:tcW w:w="1250" w:type="dxa"/>
          </w:tcPr>
          <w:p>
            <w:pPr>
              <w:spacing w:before="0" w:after="0" w:line="240" w:lineRule="auto"/>
              <w:ind w:left="0" w:firstLine="0"/>
              <w:jc w:val="left"/>
            </w:pPr>
            <w:r>
              <w:rPr>
                <w:sz w:val="16"/>
                <w:szCs w:val="16"/>
              </w:rPr>
              <w:t xml:space="preserve">Tourigny vd. (2026)</w:t>
            </w:r>
          </w:p>
        </w:tc>
        <w:tc>
          <w:tcPr>
            <w:tcW w:w="1750" w:type="dxa"/>
          </w:tcPr>
          <w:p>
            <w:pPr>
              <w:spacing w:before="0" w:after="0" w:line="240" w:lineRule="auto"/>
              <w:ind w:left="0" w:firstLine="0"/>
              <w:jc w:val="left"/>
            </w:pPr>
            <w:r>
              <w:rPr>
                <w:sz w:val="16"/>
                <w:szCs w:val="16"/>
              </w:rPr>
              <w:t xml:space="preserve">Ders transkriptlerinden çoktan seçmeli soru üretiminde ajan tabanlı akışın hangi adımlarının kaliteyi artırdığını değerlendirmek.</w:t>
            </w:r>
          </w:p>
        </w:tc>
        <w:tc>
          <w:tcPr>
            <w:tcW w:w="2050" w:type="dxa"/>
          </w:tcPr>
          <w:p>
            <w:pPr>
              <w:spacing w:before="0" w:after="0" w:line="240" w:lineRule="auto"/>
              <w:ind w:left="0" w:firstLine="0"/>
              <w:jc w:val="left"/>
            </w:pPr>
            <w:r>
              <w:rPr>
                <w:sz w:val="16"/>
                <w:szCs w:val="16"/>
              </w:rPr>
              <w:t xml:space="preserve">Ön işleme → konu üretimi → soru üretimi → yinelemeli iyileştirme akışı; RAG kullanılmadan transkriptin tamamı bağlama verildi; 19 maddelik hata listesi, çeşitlilik, anlamsal benzerlik ve Bloom sınıflandırıcısıyla (%77,4 doğruluk) değerlendirme.</w:t>
            </w:r>
          </w:p>
        </w:tc>
        <w:tc>
          <w:tcPr>
            <w:tcW w:w="1800" w:type="dxa"/>
          </w:tcPr>
          <w:p>
            <w:pPr>
              <w:spacing w:before="0" w:after="0" w:line="240" w:lineRule="auto"/>
              <w:ind w:left="0" w:firstLine="0"/>
              <w:jc w:val="left"/>
            </w:pPr>
            <w:r>
              <w:rPr>
                <w:sz w:val="16"/>
                <w:szCs w:val="16"/>
              </w:rPr>
              <w:t xml:space="preserve">Üçüncü sınıf FPGA dersi transkriptleri; Gemini-2.5-Flash; altı Bloom düzeyinde 1.500’den fazla soru.</w:t>
            </w:r>
          </w:p>
        </w:tc>
        <w:tc>
          <w:tcPr>
            <w:tcW w:w="1938" w:type="dxa"/>
          </w:tcPr>
          <w:p>
            <w:pPr>
              <w:spacing w:before="0" w:after="0" w:line="240" w:lineRule="auto"/>
              <w:ind w:left="0" w:firstLine="0"/>
              <w:jc w:val="left"/>
            </w:pPr>
            <w:r>
              <w:rPr>
                <w:sz w:val="16"/>
                <w:szCs w:val="16"/>
              </w:rPr>
              <w:t xml:space="preserve">İyileştirme kaliteyi artırdı, kazancın çoğu ilk iki turda geldi; ön temizlik anlamlı fark yaratmadı; soruların %54’ü kabul edilebilir, yalnızca %36’sı hedef Bloom düzeyinde.</w:t>
            </w:r>
          </w:p>
        </w:tc>
      </w:tr>
      <w:tr>
        <w:trPr>
          <w:cantSplit/>
        </w:trPr>
        <w:tc>
          <w:tcPr>
            <w:tcW w:w="1250" w:type="dxa"/>
          </w:tcPr>
          <w:p>
            <w:pPr>
              <w:spacing w:before="0" w:after="0" w:line="240" w:lineRule="auto"/>
              <w:ind w:left="0" w:firstLine="0"/>
              <w:jc w:val="left"/>
            </w:pPr>
            <w:r>
              <w:rPr>
                <w:sz w:val="16"/>
                <w:szCs w:val="16"/>
              </w:rPr>
              <w:t xml:space="preserve">Yu vd. (2026)</w:t>
            </w:r>
          </w:p>
        </w:tc>
        <w:tc>
          <w:tcPr>
            <w:tcW w:w="1750" w:type="dxa"/>
          </w:tcPr>
          <w:p>
            <w:pPr>
              <w:spacing w:before="0" w:after="0" w:line="240" w:lineRule="auto"/>
              <w:ind w:left="0" w:firstLine="0"/>
              <w:jc w:val="left"/>
            </w:pPr>
            <w:r>
              <w:rPr>
                <w:sz w:val="16"/>
                <w:szCs w:val="16"/>
              </w:rPr>
              <w:t xml:space="preserve">Ders videolarından zaman damgasına ve hedef cevaba bağlı çoktan seçmeli soru üretmek.</w:t>
            </w:r>
          </w:p>
        </w:tc>
        <w:tc>
          <w:tcPr>
            <w:tcW w:w="2050" w:type="dxa"/>
          </w:tcPr>
          <w:p>
            <w:pPr>
              <w:spacing w:before="0" w:after="0" w:line="240" w:lineRule="auto"/>
              <w:ind w:left="0" w:firstLine="0"/>
              <w:jc w:val="left"/>
            </w:pPr>
            <w:r>
              <w:rPr>
                <w:sz w:val="16"/>
                <w:szCs w:val="16"/>
              </w:rPr>
              <w:t xml:space="preserve">COSER: ilgili bağlamı seçme → cevabı içeren kısa cümlelere yeniden yazma → soru üretme; farklı bağlam pencereleriyle karşılaştırma.</w:t>
            </w:r>
          </w:p>
        </w:tc>
        <w:tc>
          <w:tcPr>
            <w:tcW w:w="1800" w:type="dxa"/>
          </w:tcPr>
          <w:p>
            <w:pPr>
              <w:spacing w:before="0" w:after="0" w:line="240" w:lineRule="auto"/>
              <w:ind w:left="0" w:firstLine="0"/>
              <w:jc w:val="left"/>
            </w:pPr>
            <w:r>
              <w:rPr>
                <w:sz w:val="16"/>
                <w:szCs w:val="16"/>
              </w:rPr>
              <w:t xml:space="preserve">AIRC veri kümesi (~500 soru; 27 derslik lisansüstü ve 8 derslik lisans dersi, Zoom/YouTube altyazıları ve slaytlar); GPT-4o-mini, Llama-3.3-70B, Qwen-2.5-72B.</w:t>
            </w:r>
          </w:p>
        </w:tc>
        <w:tc>
          <w:tcPr>
            <w:tcW w:w="1938" w:type="dxa"/>
          </w:tcPr>
          <w:p>
            <w:pPr>
              <w:spacing w:before="0" w:after="0" w:line="240" w:lineRule="auto"/>
              <w:ind w:left="0" w:firstLine="0"/>
              <w:jc w:val="left"/>
            </w:pPr>
            <w:r>
              <w:rPr>
                <w:sz w:val="16"/>
                <w:szCs w:val="16"/>
              </w:rPr>
              <w:t xml:space="preserve">Tüm transkripti vermek çoğu durumda en kötü sonucu verdi; yeniden yazma 30 ayarın 24’ünde NLI skorunu artırdı; transkript slayttan yararlı, ikisi birlikte en iyi.</w:t>
            </w:r>
          </w:p>
        </w:tc>
      </w:tr>
      <w:tr>
        <w:trPr>
          <w:cantSplit/>
        </w:trPr>
        <w:tc>
          <w:tcPr>
            <w:tcW w:w="1250" w:type="dxa"/>
          </w:tcPr>
          <w:p>
            <w:pPr>
              <w:spacing w:before="0" w:after="0" w:line="240" w:lineRule="auto"/>
              <w:ind w:left="0" w:firstLine="0"/>
              <w:jc w:val="left"/>
            </w:pPr>
            <w:r>
              <w:rPr>
                <w:sz w:val="16"/>
                <w:szCs w:val="16"/>
              </w:rPr>
              <w:t xml:space="preserve">Li vd. (2025)</w:t>
            </w:r>
          </w:p>
        </w:tc>
        <w:tc>
          <w:tcPr>
            <w:tcW w:w="1750" w:type="dxa"/>
          </w:tcPr>
          <w:p>
            <w:pPr>
              <w:spacing w:before="0" w:after="0" w:line="240" w:lineRule="auto"/>
              <w:ind w:left="0" w:firstLine="0"/>
              <w:jc w:val="left"/>
            </w:pPr>
            <w:r>
              <w:rPr>
                <w:sz w:val="16"/>
                <w:szCs w:val="16"/>
              </w:rPr>
              <w:t xml:space="preserve">RAG’in eğitimdeki uygulamalarını sistematik olarak derlemek.</w:t>
            </w:r>
          </w:p>
        </w:tc>
        <w:tc>
          <w:tcPr>
            <w:tcW w:w="2050" w:type="dxa"/>
          </w:tcPr>
          <w:p>
            <w:pPr>
              <w:spacing w:before="0" w:after="0" w:line="240" w:lineRule="auto"/>
              <w:ind w:left="0" w:firstLine="0"/>
              <w:jc w:val="left"/>
            </w:pPr>
            <w:r>
              <w:rPr>
                <w:sz w:val="16"/>
                <w:szCs w:val="16"/>
              </w:rPr>
              <w:t xml:space="preserve">Sistematik literatür taraması (Web of Science, 2020–2025, 6 Mart 2025) ve atıf taraması.</w:t>
            </w:r>
          </w:p>
        </w:tc>
        <w:tc>
          <w:tcPr>
            <w:tcW w:w="1800" w:type="dxa"/>
          </w:tcPr>
          <w:p>
            <w:pPr>
              <w:spacing w:before="0" w:after="0" w:line="240" w:lineRule="auto"/>
              <w:ind w:left="0" w:firstLine="0"/>
              <w:jc w:val="left"/>
            </w:pPr>
            <w:r>
              <w:rPr>
                <w:sz w:val="16"/>
                <w:szCs w:val="16"/>
              </w:rPr>
              <w:t xml:space="preserve">51 çalışma (45 veri tabanı taraması + 6 atıf taraması).</w:t>
            </w:r>
          </w:p>
        </w:tc>
        <w:tc>
          <w:tcPr>
            <w:tcW w:w="1938" w:type="dxa"/>
          </w:tcPr>
          <w:p>
            <w:pPr>
              <w:spacing w:before="0" w:after="0" w:line="240" w:lineRule="auto"/>
              <w:ind w:left="0" w:firstLine="0"/>
              <w:jc w:val="left"/>
            </w:pPr>
            <w:r>
              <w:rPr>
                <w:sz w:val="16"/>
                <w:szCs w:val="16"/>
              </w:rPr>
              <w:t xml:space="preserve">Üç uygulama grubu; dört güçlük: halüsinasyonun tamamen önlenememesi, eksik/eski bilgi tabanı, maliyet ve gecikme, görsel/video içerik desteğinin sınırlılığı.</w:t>
            </w:r>
          </w:p>
        </w:tc>
      </w:tr>
      <w:tr>
        <w:trPr>
          <w:cantSplit/>
        </w:trPr>
        <w:tc>
          <w:tcPr>
            <w:tcW w:w="1250" w:type="dxa"/>
          </w:tcPr>
          <w:p>
            <w:pPr>
              <w:spacing w:before="0" w:after="0" w:line="240" w:lineRule="auto"/>
              <w:ind w:left="0" w:firstLine="0"/>
              <w:jc w:val="left"/>
            </w:pPr>
            <w:r>
              <w:rPr>
                <w:sz w:val="16"/>
                <w:szCs w:val="16"/>
              </w:rPr>
              <w:t xml:space="preserve">Maity vd. (2025)</w:t>
            </w:r>
          </w:p>
        </w:tc>
        <w:tc>
          <w:tcPr>
            <w:tcW w:w="1750" w:type="dxa"/>
          </w:tcPr>
          <w:p>
            <w:pPr>
              <w:spacing w:before="0" w:after="0" w:line="240" w:lineRule="auto"/>
              <w:ind w:left="0" w:firstLine="0"/>
              <w:jc w:val="left"/>
            </w:pPr>
            <w:r>
              <w:rPr>
                <w:sz w:val="16"/>
                <w:szCs w:val="16"/>
              </w:rPr>
              <w:t xml:space="preserve">LLM’lerin ders kitabı metinlerinden soru ve Bloom düzeyli soru üretme başarısını ölçmek.</w:t>
            </w:r>
          </w:p>
        </w:tc>
        <w:tc>
          <w:tcPr>
            <w:tcW w:w="2050" w:type="dxa"/>
          </w:tcPr>
          <w:p>
            <w:pPr>
              <w:spacing w:before="0" w:after="0" w:line="240" w:lineRule="auto"/>
              <w:ind w:left="0" w:firstLine="0"/>
              <w:jc w:val="left"/>
            </w:pPr>
            <w:r>
              <w:rPr>
                <w:sz w:val="16"/>
                <w:szCs w:val="16"/>
              </w:rPr>
              <w:t xml:space="preserve">Sıfır örnekli ve sekiz örnekli istemlerle üretim; 16 öğretmen beş ölçütle puanladı, 12 öğretmen Bloom düzeyini sınıflandırdı.</w:t>
            </w:r>
          </w:p>
        </w:tc>
        <w:tc>
          <w:tcPr>
            <w:tcW w:w="1800" w:type="dxa"/>
          </w:tcPr>
          <w:p>
            <w:pPr>
              <w:spacing w:before="0" w:after="0" w:line="240" w:lineRule="auto"/>
              <w:ind w:left="0" w:firstLine="0"/>
              <w:jc w:val="left"/>
            </w:pPr>
            <w:r>
              <w:rPr>
                <w:sz w:val="16"/>
                <w:szCs w:val="16"/>
              </w:rPr>
              <w:t xml:space="preserve">EduProbe veri kümesinin 3.502 bağlamı (Hindistan müfredatı); GPT-4 Turbo, GPT-3.5 Turbo, Llama-2-70B, Llama-3.1-405B, Gemini Pro.</w:t>
            </w:r>
          </w:p>
        </w:tc>
        <w:tc>
          <w:tcPr>
            <w:tcW w:w="1938" w:type="dxa"/>
          </w:tcPr>
          <w:p>
            <w:pPr>
              <w:spacing w:before="0" w:after="0" w:line="240" w:lineRule="auto"/>
              <w:ind w:left="0" w:firstLine="0"/>
              <w:jc w:val="left"/>
            </w:pPr>
            <w:r>
              <w:rPr>
                <w:sz w:val="16"/>
                <w:szCs w:val="16"/>
              </w:rPr>
              <w:t xml:space="preserve">İnsan yazımı sorular en iyi, modeller arasında GPT-4 Turbo; sekiz örnek yanıtlanabilirliği 3,42’den 3,88’e çıkardı, tekrarı azalttı, Bloom dağılımını dengeledi.</w:t>
            </w:r>
          </w:p>
        </w:tc>
      </w:tr>
      <w:tr>
        <w:trPr>
          <w:cantSplit/>
        </w:trPr>
        <w:tc>
          <w:tcPr>
            <w:tcW w:w="1250" w:type="dxa"/>
          </w:tcPr>
          <w:p>
            <w:pPr>
              <w:spacing w:before="0" w:after="0" w:line="240" w:lineRule="auto"/>
              <w:ind w:left="0" w:firstLine="0"/>
              <w:jc w:val="left"/>
            </w:pPr>
            <w:r>
              <w:rPr>
                <w:sz w:val="16"/>
                <w:szCs w:val="16"/>
              </w:rPr>
              <w:t xml:space="preserve">Miladi vd. (2025)</w:t>
            </w:r>
          </w:p>
        </w:tc>
        <w:tc>
          <w:tcPr>
            <w:tcW w:w="1750" w:type="dxa"/>
          </w:tcPr>
          <w:p>
            <w:pPr>
              <w:spacing w:before="0" w:after="0" w:line="240" w:lineRule="auto"/>
              <w:ind w:left="0" w:firstLine="0"/>
              <w:jc w:val="left"/>
            </w:pPr>
            <w:r>
              <w:rPr>
                <w:sz w:val="16"/>
                <w:szCs w:val="16"/>
              </w:rPr>
              <w:t xml:space="preserve">GPT-4 + RAG sohbet ajanının MOOC öğrencilerinin bilgi kazanımına etkisini ölçmek.</w:t>
            </w:r>
          </w:p>
        </w:tc>
        <w:tc>
          <w:tcPr>
            <w:tcW w:w="2050" w:type="dxa"/>
          </w:tcPr>
          <w:p>
            <w:pPr>
              <w:spacing w:before="0" w:after="0" w:line="240" w:lineRule="auto"/>
              <w:ind w:left="0" w:firstLine="0"/>
              <w:jc w:val="left"/>
            </w:pPr>
            <w:r>
              <w:rPr>
                <w:sz w:val="16"/>
                <w:szCs w:val="16"/>
              </w:rPr>
              <w:t xml:space="preserve">Kontrollü deney: 25 öğrenci rastgele iki gruba (13 deney, 12 kontrol); ön test/son test ve SUS; en benzer üç parça bağlam olarak verildi.</w:t>
            </w:r>
          </w:p>
        </w:tc>
        <w:tc>
          <w:tcPr>
            <w:tcW w:w="1800" w:type="dxa"/>
          </w:tcPr>
          <w:p>
            <w:pPr>
              <w:spacing w:before="0" w:after="0" w:line="240" w:lineRule="auto"/>
              <w:ind w:left="0" w:firstLine="0"/>
              <w:jc w:val="left"/>
            </w:pPr>
            <w:r>
              <w:rPr>
                <w:sz w:val="16"/>
                <w:szCs w:val="16"/>
              </w:rPr>
              <w:t xml:space="preserve">Ders metinleri ve video transkriptleri (2.000 karakter, 200 örtüşmeli parçalar); ada-002 gömmeleri; GPT-4.</w:t>
            </w:r>
          </w:p>
        </w:tc>
        <w:tc>
          <w:tcPr>
            <w:tcW w:w="1938" w:type="dxa"/>
          </w:tcPr>
          <w:p>
            <w:pPr>
              <w:spacing w:before="0" w:after="0" w:line="240" w:lineRule="auto"/>
              <w:ind w:left="0" w:firstLine="0"/>
              <w:jc w:val="left"/>
            </w:pPr>
            <w:r>
              <w:rPr>
                <w:sz w:val="16"/>
                <w:szCs w:val="16"/>
              </w:rPr>
              <w:t xml:space="preserve">Son test: deney 8,9, kontrol 8,2 (ön test ikisinde 7,2; p = 0,017; d = 1,02); SUS 80,4.</w:t>
            </w:r>
          </w:p>
        </w:tc>
      </w:tr>
      <w:tr>
        <w:trPr>
          <w:cantSplit/>
        </w:trPr>
        <w:tc>
          <w:tcPr>
            <w:tcW w:w="1250" w:type="dxa"/>
          </w:tcPr>
          <w:p>
            <w:pPr>
              <w:spacing w:before="0" w:after="0" w:line="240" w:lineRule="auto"/>
              <w:ind w:left="0" w:firstLine="0"/>
              <w:jc w:val="left"/>
            </w:pPr>
            <w:r>
              <w:rPr>
                <w:sz w:val="16"/>
                <w:szCs w:val="16"/>
              </w:rPr>
              <w:t xml:space="preserve">Pradeesh vd. (2025)</w:t>
            </w:r>
          </w:p>
        </w:tc>
        <w:tc>
          <w:tcPr>
            <w:tcW w:w="1750" w:type="dxa"/>
          </w:tcPr>
          <w:p>
            <w:pPr>
              <w:spacing w:before="0" w:after="0" w:line="240" w:lineRule="auto"/>
              <w:ind w:left="0" w:firstLine="0"/>
              <w:jc w:val="left"/>
            </w:pPr>
            <w:r>
              <w:rPr>
                <w:sz w:val="16"/>
                <w:szCs w:val="16"/>
              </w:rPr>
              <w:t xml:space="preserve">PDF belgelerinden RAG ile toplu çoktan seçmeli soru üretmek ve öğrenme yönetim sistemine entegre etmek.</w:t>
            </w:r>
          </w:p>
        </w:tc>
        <w:tc>
          <w:tcPr>
            <w:tcW w:w="2050" w:type="dxa"/>
          </w:tcPr>
          <w:p>
            <w:pPr>
              <w:spacing w:before="0" w:after="0" w:line="240" w:lineRule="auto"/>
              <w:ind w:left="0" w:firstLine="0"/>
              <w:jc w:val="left"/>
            </w:pPr>
            <w:r>
              <w:rPr>
                <w:sz w:val="16"/>
                <w:szCs w:val="16"/>
              </w:rPr>
              <w:t xml:space="preserve">1.000 karakter / 200 örtüşmeli parçalar, FAISS indeksi; benzerliği 0,85’in üzerindeki sorular elendi; BERT/CodeBERT/XLNet benzerliğiyle karşılaştırma ve eğitimci paneli.</w:t>
            </w:r>
          </w:p>
        </w:tc>
        <w:tc>
          <w:tcPr>
            <w:tcW w:w="1800" w:type="dxa"/>
          </w:tcPr>
          <w:p>
            <w:pPr>
              <w:spacing w:before="0" w:after="0" w:line="240" w:lineRule="auto"/>
              <w:ind w:left="0" w:firstLine="0"/>
              <w:jc w:val="left"/>
            </w:pPr>
            <w:r>
              <w:rPr>
                <w:sz w:val="16"/>
                <w:szCs w:val="16"/>
              </w:rPr>
              <w:t xml:space="preserve">Java dersinin beş konusu; öğretmenin yazdığı 25 soru ve üç sistemin ürettiği 75 soru; GPT-4.</w:t>
            </w:r>
          </w:p>
        </w:tc>
        <w:tc>
          <w:tcPr>
            <w:tcW w:w="1938" w:type="dxa"/>
          </w:tcPr>
          <w:p>
            <w:pPr>
              <w:spacing w:before="0" w:after="0" w:line="240" w:lineRule="auto"/>
              <w:ind w:left="0" w:firstLine="0"/>
              <w:jc w:val="left"/>
            </w:pPr>
            <w:r>
              <w:rPr>
                <w:sz w:val="16"/>
                <w:szCs w:val="16"/>
              </w:rPr>
              <w:t xml:space="preserve">Öğretmen sorularına en yakın sonucu ChatGPT verdi; çeldiriciler ilgililik, açıklık ve yanıltıcılık açısından değerlendirildi.</w:t>
            </w:r>
          </w:p>
        </w:tc>
      </w:tr>
      <w:tr>
        <w:trPr>
          <w:cantSplit/>
        </w:trPr>
        <w:tc>
          <w:tcPr>
            <w:tcW w:w="1250" w:type="dxa"/>
          </w:tcPr>
          <w:p>
            <w:pPr>
              <w:spacing w:before="0" w:after="0" w:line="240" w:lineRule="auto"/>
              <w:ind w:left="0" w:firstLine="0"/>
              <w:jc w:val="left"/>
            </w:pPr>
            <w:r>
              <w:rPr>
                <w:sz w:val="16"/>
                <w:szCs w:val="16"/>
              </w:rPr>
              <w:t xml:space="preserve">Qu vd. (2025)</w:t>
            </w:r>
          </w:p>
        </w:tc>
        <w:tc>
          <w:tcPr>
            <w:tcW w:w="1750" w:type="dxa"/>
          </w:tcPr>
          <w:p>
            <w:pPr>
              <w:spacing w:before="0" w:after="0" w:line="240" w:lineRule="auto"/>
              <w:ind w:left="0" w:firstLine="0"/>
              <w:jc w:val="left"/>
            </w:pPr>
            <w:r>
              <w:rPr>
                <w:sz w:val="16"/>
                <w:szCs w:val="16"/>
              </w:rPr>
              <w:t xml:space="preserve">Anlamsal bölütlemenin sabit boyutlu bölütlemeye göre üstünlüğünü sınamak.</w:t>
            </w:r>
          </w:p>
        </w:tc>
        <w:tc>
          <w:tcPr>
            <w:tcW w:w="2050" w:type="dxa"/>
          </w:tcPr>
          <w:p>
            <w:pPr>
              <w:spacing w:before="0" w:after="0" w:line="240" w:lineRule="auto"/>
              <w:ind w:left="0" w:firstLine="0"/>
              <w:jc w:val="left"/>
            </w:pPr>
            <w:r>
              <w:rPr>
                <w:sz w:val="16"/>
                <w:szCs w:val="16"/>
              </w:rPr>
              <w:t xml:space="preserve">Sabit boyutlu, eşik tabanlı ve kümeleme tabanlı anlamsal bölütleyicilerin belge erişimi, kanıt erişimi ve cevap üretimi görevlerinde karşılaştırılması.</w:t>
            </w:r>
          </w:p>
        </w:tc>
        <w:tc>
          <w:tcPr>
            <w:tcW w:w="1800" w:type="dxa"/>
          </w:tcPr>
          <w:p>
            <w:pPr>
              <w:spacing w:before="0" w:after="0" w:line="240" w:lineRule="auto"/>
              <w:ind w:left="0" w:firstLine="0"/>
              <w:jc w:val="left"/>
            </w:pPr>
            <w:r>
              <w:rPr>
                <w:sz w:val="16"/>
                <w:szCs w:val="16"/>
              </w:rPr>
              <w:t xml:space="preserve">Belge erişiminde 10, kanıt erişiminde 5 veri kümesi; üç gömme modeli.</w:t>
            </w:r>
          </w:p>
        </w:tc>
        <w:tc>
          <w:tcPr>
            <w:tcW w:w="1938" w:type="dxa"/>
          </w:tcPr>
          <w:p>
            <w:pPr>
              <w:spacing w:before="0" w:after="0" w:line="240" w:lineRule="auto"/>
              <w:ind w:left="0" w:firstLine="0"/>
              <w:jc w:val="left"/>
            </w:pPr>
            <w:r>
              <w:rPr>
                <w:sz w:val="16"/>
                <w:szCs w:val="16"/>
              </w:rPr>
              <w:t xml:space="preserve">Anlamsal bölütleme yalnızca yapay birleştirilmiş belgelerde öne çıktı; gerçek belgelerde sabit boyutlu genelde daha iyi; gömme modeli seçimi daha belirleyici.</w:t>
            </w:r>
          </w:p>
        </w:tc>
      </w:tr>
      <w:tr>
        <w:trPr>
          <w:cantSplit/>
        </w:trPr>
        <w:tc>
          <w:tcPr>
            <w:tcW w:w="1250" w:type="dxa"/>
          </w:tcPr>
          <w:p>
            <w:pPr>
              <w:spacing w:before="0" w:after="0" w:line="240" w:lineRule="auto"/>
              <w:ind w:left="0" w:firstLine="0"/>
              <w:jc w:val="left"/>
            </w:pPr>
            <w:r>
              <w:rPr>
                <w:sz w:val="16"/>
                <w:szCs w:val="16"/>
              </w:rPr>
              <w:t xml:space="preserve">Ray vd. (2025)</w:t>
            </w:r>
          </w:p>
        </w:tc>
        <w:tc>
          <w:tcPr>
            <w:tcW w:w="1750" w:type="dxa"/>
          </w:tcPr>
          <w:p>
            <w:pPr>
              <w:spacing w:before="0" w:after="0" w:line="240" w:lineRule="auto"/>
              <w:ind w:left="0" w:firstLine="0"/>
              <w:jc w:val="left"/>
            </w:pPr>
            <w:r>
              <w:rPr>
                <w:sz w:val="16"/>
                <w:szCs w:val="16"/>
              </w:rPr>
              <w:t xml:space="preserve">Çok kipli modellerin ders videolarından öğrenci sorularına uzun cevap üretmesini ölçmek.</w:t>
            </w:r>
          </w:p>
        </w:tc>
        <w:tc>
          <w:tcPr>
            <w:tcW w:w="2050" w:type="dxa"/>
          </w:tcPr>
          <w:p>
            <w:pPr>
              <w:spacing w:before="0" w:after="0" w:line="240" w:lineRule="auto"/>
              <w:ind w:left="0" w:firstLine="0"/>
              <w:jc w:val="left"/>
            </w:pPr>
            <w:r>
              <w:rPr>
                <w:sz w:val="16"/>
                <w:szCs w:val="16"/>
              </w:rPr>
              <w:t xml:space="preserve">EduVidQA veri kümesinin oluşturulması; ±2 dk transkript ve kare bağlamıyla altı modelin sınanması; sentetik veriyle LoRA ince ayarı; 52 öğrenciyle ön anket.</w:t>
            </w:r>
          </w:p>
        </w:tc>
        <w:tc>
          <w:tcPr>
            <w:tcW w:w="1800" w:type="dxa"/>
          </w:tcPr>
          <w:p>
            <w:pPr>
              <w:spacing w:before="0" w:after="0" w:line="240" w:lineRule="auto"/>
              <w:ind w:left="0" w:firstLine="0"/>
              <w:jc w:val="left"/>
            </w:pPr>
            <w:r>
              <w:rPr>
                <w:sz w:val="16"/>
                <w:szCs w:val="16"/>
              </w:rPr>
              <w:t xml:space="preserve">296 bilgisayar bilimi videosu; 5.252 soru-cevap (270 gerçek YouTube sorusu, 4.982 sentetik); Bloom etiketleri (κ = 0,83).</w:t>
            </w:r>
          </w:p>
        </w:tc>
        <w:tc>
          <w:tcPr>
            <w:tcW w:w="1938" w:type="dxa"/>
          </w:tcPr>
          <w:p>
            <w:pPr>
              <w:spacing w:before="0" w:after="0" w:line="240" w:lineRule="auto"/>
              <w:ind w:left="0" w:firstLine="0"/>
              <w:jc w:val="left"/>
            </w:pPr>
            <w:r>
              <w:rPr>
                <w:sz w:val="16"/>
                <w:szCs w:val="16"/>
              </w:rPr>
              <w:t xml:space="preserve">Öğrencilerin %67,9’u izlerken soru sormak istedi, %17’si sordu; gerçek sorularda sıfır atış zayıf; ince ayar iyileştirdi; soruların %44–46’sı görsele bağımlı.</w:t>
            </w:r>
          </w:p>
        </w:tc>
      </w:tr>
      <w:tr>
        <w:trPr>
          <w:cantSplit/>
        </w:trPr>
        <w:tc>
          <w:tcPr>
            <w:tcW w:w="1250" w:type="dxa"/>
          </w:tcPr>
          <w:p>
            <w:pPr>
              <w:spacing w:before="0" w:after="0" w:line="240" w:lineRule="auto"/>
              <w:ind w:left="0" w:firstLine="0"/>
              <w:jc w:val="left"/>
            </w:pPr>
            <w:r>
              <w:rPr>
                <w:sz w:val="16"/>
                <w:szCs w:val="16"/>
              </w:rPr>
              <w:t xml:space="preserve">Yao vd. (2025)</w:t>
            </w:r>
          </w:p>
        </w:tc>
        <w:tc>
          <w:tcPr>
            <w:tcW w:w="1750" w:type="dxa"/>
          </w:tcPr>
          <w:p>
            <w:pPr>
              <w:spacing w:before="0" w:after="0" w:line="240" w:lineRule="auto"/>
              <w:ind w:left="0" w:firstLine="0"/>
              <w:jc w:val="left"/>
            </w:pPr>
            <w:r>
              <w:rPr>
                <w:sz w:val="16"/>
                <w:szCs w:val="16"/>
              </w:rPr>
              <w:t xml:space="preserve">Klinik vakalardan USMLE tarzı çoktan seçmeli soru üretip öz-eleştiri ve düzeltmeyle iyileştirmek.</w:t>
            </w:r>
          </w:p>
        </w:tc>
        <w:tc>
          <w:tcPr>
            <w:tcW w:w="2050" w:type="dxa"/>
          </w:tcPr>
          <w:p>
            <w:pPr>
              <w:spacing w:before="0" w:after="0" w:line="240" w:lineRule="auto"/>
              <w:ind w:left="0" w:firstLine="0"/>
              <w:jc w:val="left"/>
            </w:pPr>
            <w:r>
              <w:rPr>
                <w:sz w:val="16"/>
                <w:szCs w:val="16"/>
              </w:rPr>
              <w:t xml:space="preserve">MCQG-SRefine: üret → cevapla → ölçütle eleştir → düzelt (en çok 4 tur); ColBERT ile örnek getirme; uzman değerlendirmesi.</w:t>
            </w:r>
          </w:p>
        </w:tc>
        <w:tc>
          <w:tcPr>
            <w:tcW w:w="1800" w:type="dxa"/>
          </w:tcPr>
          <w:p>
            <w:pPr>
              <w:spacing w:before="0" w:after="0" w:line="240" w:lineRule="auto"/>
              <w:ind w:left="0" w:firstLine="0"/>
              <w:jc w:val="left"/>
            </w:pPr>
            <w:r>
              <w:rPr>
                <w:sz w:val="16"/>
                <w:szCs w:val="16"/>
              </w:rPr>
              <w:t xml:space="preserve">PMC-Patients veri kümesi; GPT-4; 373 + 385 soru; iki tıp öğrencisi ve bir hekim.</w:t>
            </w:r>
          </w:p>
        </w:tc>
        <w:tc>
          <w:tcPr>
            <w:tcW w:w="1938" w:type="dxa"/>
          </w:tcPr>
          <w:p>
            <w:pPr>
              <w:spacing w:before="0" w:after="0" w:line="240" w:lineRule="auto"/>
              <w:ind w:left="0" w:firstLine="0"/>
              <w:jc w:val="left"/>
            </w:pPr>
            <w:r>
              <w:rPr>
                <w:sz w:val="16"/>
                <w:szCs w:val="16"/>
              </w:rPr>
              <w:t xml:space="preserve">Temel GPT-4’e karşı %72,5 kazanma, %10 beraberlik, %17,5 kayıp; zor soru oranı arttı; en iyi puanların %30’u ilk turda.</w:t>
            </w:r>
          </w:p>
        </w:tc>
      </w:tr>
      <w:tr>
        <w:trPr>
          <w:cantSplit/>
        </w:trPr>
        <w:tc>
          <w:tcPr>
            <w:tcW w:w="1250" w:type="dxa"/>
          </w:tcPr>
          <w:p>
            <w:pPr>
              <w:spacing w:before="0" w:after="0" w:line="240" w:lineRule="auto"/>
              <w:ind w:left="0" w:firstLine="0"/>
              <w:jc w:val="left"/>
            </w:pPr>
            <w:r>
              <w:rPr>
                <w:sz w:val="16"/>
                <w:szCs w:val="16"/>
              </w:rPr>
              <w:t xml:space="preserve">Arif vd. (2024)</w:t>
            </w:r>
          </w:p>
        </w:tc>
        <w:tc>
          <w:tcPr>
            <w:tcW w:w="1750" w:type="dxa"/>
          </w:tcPr>
          <w:p>
            <w:pPr>
              <w:spacing w:before="0" w:after="0" w:line="240" w:lineRule="auto"/>
              <w:ind w:left="0" w:firstLine="0"/>
              <w:jc w:val="left"/>
            </w:pPr>
            <w:r>
              <w:rPr>
                <w:sz w:val="16"/>
                <w:szCs w:val="16"/>
              </w:rPr>
              <w:t xml:space="preserve">Ders video transkriptlerinden LLM ile üretilen çoktan seçmeli soruların kalitesini incelemek.</w:t>
            </w:r>
          </w:p>
        </w:tc>
        <w:tc>
          <w:tcPr>
            <w:tcW w:w="2050" w:type="dxa"/>
          </w:tcPr>
          <w:p>
            <w:pPr>
              <w:spacing w:before="0" w:after="0" w:line="240" w:lineRule="auto"/>
              <w:ind w:left="0" w:firstLine="0"/>
              <w:jc w:val="left"/>
            </w:pPr>
            <w:r>
              <w:rPr>
                <w:sz w:val="16"/>
                <w:szCs w:val="16"/>
              </w:rPr>
              <w:t xml:space="preserve">Özet → 4–5 bölüm → bölüm başına soru üretimi; insan, 19 maddelik kural tabanlı ve LLM ile değerlendirme.</w:t>
            </w:r>
          </w:p>
        </w:tc>
        <w:tc>
          <w:tcPr>
            <w:tcW w:w="1800" w:type="dxa"/>
          </w:tcPr>
          <w:p>
            <w:pPr>
              <w:spacing w:before="0" w:after="0" w:line="240" w:lineRule="auto"/>
              <w:ind w:left="0" w:firstLine="0"/>
              <w:jc w:val="left"/>
            </w:pPr>
            <w:r>
              <w:rPr>
                <w:sz w:val="16"/>
                <w:szCs w:val="16"/>
              </w:rPr>
              <w:t xml:space="preserve">Çevrim içi veri bilimi yüksek lisans programının 11 ders transkripti; GPT-3.5 ve GPT-4; ~3.559 soru.</w:t>
            </w:r>
          </w:p>
        </w:tc>
        <w:tc>
          <w:tcPr>
            <w:tcW w:w="1938" w:type="dxa"/>
          </w:tcPr>
          <w:p>
            <w:pPr>
              <w:spacing w:before="0" w:after="0" w:line="240" w:lineRule="auto"/>
              <w:ind w:left="0" w:firstLine="0"/>
              <w:jc w:val="left"/>
            </w:pPr>
            <w:r>
              <w:rPr>
                <w:sz w:val="16"/>
                <w:szCs w:val="16"/>
              </w:rPr>
              <w:t xml:space="preserve">İnsan değerlendirmesinde %51–65 hatasız; kural tabanlıda soru başına ort. 1,6 hata, tüm denetimi geçen %15–18; en sık hata akla yatkın olmayan çeldirici.</w:t>
            </w:r>
          </w:p>
        </w:tc>
      </w:tr>
      <w:tr>
        <w:trPr>
          <w:cantSplit/>
        </w:trPr>
        <w:tc>
          <w:tcPr>
            <w:tcW w:w="1250" w:type="dxa"/>
          </w:tcPr>
          <w:p>
            <w:pPr>
              <w:spacing w:before="0" w:after="0" w:line="240" w:lineRule="auto"/>
              <w:ind w:left="0" w:firstLine="0"/>
              <w:jc w:val="left"/>
            </w:pPr>
            <w:r>
              <w:rPr>
                <w:sz w:val="16"/>
                <w:szCs w:val="16"/>
              </w:rPr>
              <w:t xml:space="preserve">Barnett vd. (2024)</w:t>
            </w:r>
          </w:p>
        </w:tc>
        <w:tc>
          <w:tcPr>
            <w:tcW w:w="1750" w:type="dxa"/>
          </w:tcPr>
          <w:p>
            <w:pPr>
              <w:spacing w:before="0" w:after="0" w:line="240" w:lineRule="auto"/>
              <w:ind w:left="0" w:firstLine="0"/>
              <w:jc w:val="left"/>
            </w:pPr>
            <w:r>
              <w:rPr>
                <w:sz w:val="16"/>
                <w:szCs w:val="16"/>
              </w:rPr>
              <w:t xml:space="preserve">RAG sistemi kurarken karşılaşılan hataları üç vakadan çıkarmak.</w:t>
            </w:r>
          </w:p>
        </w:tc>
        <w:tc>
          <w:tcPr>
            <w:tcW w:w="2050" w:type="dxa"/>
          </w:tcPr>
          <w:p>
            <w:pPr>
              <w:spacing w:before="0" w:after="0" w:line="240" w:lineRule="auto"/>
              <w:ind w:left="0" w:firstLine="0"/>
              <w:jc w:val="left"/>
            </w:pPr>
            <w:r>
              <w:rPr>
                <w:sz w:val="16"/>
                <w:szCs w:val="16"/>
              </w:rPr>
              <w:t xml:space="preserve">Üç vaka çalışmasına dayalı deneyim raporu.</w:t>
            </w:r>
          </w:p>
        </w:tc>
        <w:tc>
          <w:tcPr>
            <w:tcW w:w="1800" w:type="dxa"/>
          </w:tcPr>
          <w:p>
            <w:pPr>
              <w:spacing w:before="0" w:after="0" w:line="240" w:lineRule="auto"/>
              <w:ind w:left="0" w:firstLine="0"/>
              <w:jc w:val="left"/>
            </w:pPr>
            <w:r>
              <w:rPr>
                <w:sz w:val="16"/>
                <w:szCs w:val="16"/>
              </w:rPr>
              <w:t xml:space="preserve">Araştırma makalesi aracı; Deakin AI Tutor (Whisper ile video transkripti, 200 öğrenci); BioASQ veri kümesi.</w:t>
            </w:r>
          </w:p>
        </w:tc>
        <w:tc>
          <w:tcPr>
            <w:tcW w:w="1938" w:type="dxa"/>
          </w:tcPr>
          <w:p>
            <w:pPr>
              <w:spacing w:before="0" w:after="0" w:line="240" w:lineRule="auto"/>
              <w:ind w:left="0" w:firstLine="0"/>
              <w:jc w:val="left"/>
            </w:pPr>
            <w:r>
              <w:rPr>
                <w:sz w:val="16"/>
                <w:szCs w:val="16"/>
              </w:rPr>
              <w:t xml:space="preserve">Yedi hata noktası tanımlandı; üst veri eklemek erişimi iyileştirdi; doğrulama ancak çalışırken yapılabiliyor; sürekli kalibrasyon gerekiyor.</w:t>
            </w:r>
          </w:p>
        </w:tc>
      </w:tr>
      <w:tr>
        <w:trPr>
          <w:cantSplit/>
        </w:trPr>
        <w:tc>
          <w:tcPr>
            <w:tcW w:w="1250" w:type="dxa"/>
          </w:tcPr>
          <w:p>
            <w:pPr>
              <w:spacing w:before="0" w:after="0" w:line="240" w:lineRule="auto"/>
              <w:ind w:left="0" w:firstLine="0"/>
              <w:jc w:val="left"/>
            </w:pPr>
            <w:r>
              <w:rPr>
                <w:sz w:val="16"/>
                <w:szCs w:val="16"/>
              </w:rPr>
              <w:t xml:space="preserve">Chen vd. (2024)</w:t>
            </w:r>
          </w:p>
        </w:tc>
        <w:tc>
          <w:tcPr>
            <w:tcW w:w="1750" w:type="dxa"/>
          </w:tcPr>
          <w:p>
            <w:pPr>
              <w:spacing w:before="0" w:after="0" w:line="240" w:lineRule="auto"/>
              <w:ind w:left="0" w:firstLine="0"/>
              <w:jc w:val="left"/>
            </w:pPr>
            <w:r>
              <w:rPr>
                <w:sz w:val="16"/>
                <w:szCs w:val="16"/>
              </w:rPr>
              <w:t xml:space="preserve">Çok dilli, çok işlevli ve uzun girdi alabilen bir gömme modeli geliştirmek.</w:t>
            </w:r>
          </w:p>
        </w:tc>
        <w:tc>
          <w:tcPr>
            <w:tcW w:w="2050" w:type="dxa"/>
          </w:tcPr>
          <w:p>
            <w:pPr>
              <w:spacing w:before="0" w:after="0" w:line="240" w:lineRule="auto"/>
              <w:ind w:left="0" w:firstLine="0"/>
              <w:jc w:val="left"/>
            </w:pPr>
            <w:r>
              <w:rPr>
                <w:sz w:val="16"/>
                <w:szCs w:val="16"/>
              </w:rPr>
              <w:t xml:space="preserve">Yoğun, seyrek ve çok vektörlü erişimin tek modelde birleştirilmesi; üç aşamalı eğitim ve öz-bilgi damıtma.</w:t>
            </w:r>
          </w:p>
        </w:tc>
        <w:tc>
          <w:tcPr>
            <w:tcW w:w="1800" w:type="dxa"/>
          </w:tcPr>
          <w:p>
            <w:pPr>
              <w:spacing w:before="0" w:after="0" w:line="240" w:lineRule="auto"/>
              <w:ind w:left="0" w:firstLine="0"/>
              <w:jc w:val="left"/>
            </w:pPr>
            <w:r>
              <w:rPr>
                <w:sz w:val="16"/>
                <w:szCs w:val="16"/>
              </w:rPr>
              <w:t xml:space="preserve">XLM-RoBERTa tabanlı model; 194 dilde ~1,2 milyar metin çifti; MIRACL, MLDR, MKQA kıyaslamaları.</w:t>
            </w:r>
          </w:p>
        </w:tc>
        <w:tc>
          <w:tcPr>
            <w:tcW w:w="1938" w:type="dxa"/>
          </w:tcPr>
          <w:p>
            <w:pPr>
              <w:spacing w:before="0" w:after="0" w:line="240" w:lineRule="auto"/>
              <w:ind w:left="0" w:firstLine="0"/>
              <w:jc w:val="left"/>
            </w:pPr>
            <w:r>
              <w:rPr>
                <w:sz w:val="16"/>
                <w:szCs w:val="16"/>
              </w:rPr>
              <w:t xml:space="preserve">MIRACL nDCG@10: yoğun 69,2, birleşik 71,5 (mE5-large 66,6); MLDR’de seyrek yoğundan iyi (62,2/52,5), birleşik 65,0.</w:t>
            </w:r>
          </w:p>
        </w:tc>
      </w:tr>
      <w:tr>
        <w:trPr>
          <w:cantSplit/>
        </w:trPr>
        <w:tc>
          <w:tcPr>
            <w:tcW w:w="1250" w:type="dxa"/>
          </w:tcPr>
          <w:p>
            <w:pPr>
              <w:spacing w:before="0" w:after="0" w:line="240" w:lineRule="auto"/>
              <w:ind w:left="0" w:firstLine="0"/>
              <w:jc w:val="left"/>
            </w:pPr>
            <w:r>
              <w:rPr>
                <w:sz w:val="16"/>
                <w:szCs w:val="16"/>
              </w:rPr>
              <w:t xml:space="preserve">Doughty vd. (2024)</w:t>
            </w:r>
          </w:p>
        </w:tc>
        <w:tc>
          <w:tcPr>
            <w:tcW w:w="1750" w:type="dxa"/>
          </w:tcPr>
          <w:p>
            <w:pPr>
              <w:spacing w:before="0" w:after="0" w:line="240" w:lineRule="auto"/>
              <w:ind w:left="0" w:firstLine="0"/>
              <w:jc w:val="left"/>
            </w:pPr>
            <w:r>
              <w:rPr>
                <w:sz w:val="16"/>
                <w:szCs w:val="16"/>
              </w:rPr>
              <w:t xml:space="preserve">Python derslerinde öğrenme çıktısına bağlı soruları GPT-4 ile üretip insan yazımıyla karşılaştırmak.</w:t>
            </w:r>
          </w:p>
        </w:tc>
        <w:tc>
          <w:tcPr>
            <w:tcW w:w="2050" w:type="dxa"/>
          </w:tcPr>
          <w:p>
            <w:pPr>
              <w:spacing w:before="0" w:after="0" w:line="240" w:lineRule="auto"/>
              <w:ind w:left="0" w:firstLine="0"/>
              <w:jc w:val="left"/>
            </w:pPr>
            <w:r>
              <w:rPr>
                <w:sz w:val="16"/>
                <w:szCs w:val="16"/>
              </w:rPr>
              <w:t xml:space="preserve">Öğrenme çıktısı → BERT ile Bloom düzeyi tahmini → soru türü eşleme → GPT-4 ile üretim; 13 değerlendiriciyle ölçüt bazlı puanlama.</w:t>
            </w:r>
          </w:p>
        </w:tc>
        <w:tc>
          <w:tcPr>
            <w:tcW w:w="1800" w:type="dxa"/>
          </w:tcPr>
          <w:p>
            <w:pPr>
              <w:spacing w:before="0" w:after="0" w:line="240" w:lineRule="auto"/>
              <w:ind w:left="0" w:firstLine="0"/>
              <w:jc w:val="left"/>
            </w:pPr>
            <w:r>
              <w:rPr>
                <w:sz w:val="16"/>
                <w:szCs w:val="16"/>
              </w:rPr>
              <w:t xml:space="preserve">Altı dersten 246 öğrenme çıktısı; 651 üretilen ve 449 insan yazımı soru.</w:t>
            </w:r>
          </w:p>
        </w:tc>
        <w:tc>
          <w:tcPr>
            <w:tcW w:w="1938" w:type="dxa"/>
          </w:tcPr>
          <w:p>
            <w:pPr>
              <w:spacing w:before="0" w:after="0" w:line="240" w:lineRule="auto"/>
              <w:ind w:left="0" w:firstLine="0"/>
              <w:jc w:val="left"/>
            </w:pPr>
            <w:r>
              <w:rPr>
                <w:sz w:val="16"/>
                <w:szCs w:val="16"/>
              </w:rPr>
              <w:t xml:space="preserve">Kalite insan yazımına yakın; %81,7’si tüm ölçütleri geçti; birden fazla doğru seçenek %4,9 (insan %1,1), cevabı ele veren çeldirici %4,0 (%0,9).</w:t>
            </w:r>
          </w:p>
        </w:tc>
      </w:tr>
      <w:tr>
        <w:trPr>
          <w:cantSplit/>
        </w:trPr>
        <w:tc>
          <w:tcPr>
            <w:tcW w:w="1250" w:type="dxa"/>
          </w:tcPr>
          <w:p>
            <w:pPr>
              <w:spacing w:before="0" w:after="0" w:line="240" w:lineRule="auto"/>
              <w:ind w:left="0" w:firstLine="0"/>
              <w:jc w:val="left"/>
            </w:pPr>
            <w:r>
              <w:rPr>
                <w:sz w:val="16"/>
                <w:szCs w:val="16"/>
              </w:rPr>
              <w:t xml:space="preserve">Elkins vd. (2024)</w:t>
            </w:r>
          </w:p>
        </w:tc>
        <w:tc>
          <w:tcPr>
            <w:tcW w:w="1750" w:type="dxa"/>
          </w:tcPr>
          <w:p>
            <w:pPr>
              <w:spacing w:before="0" w:after="0" w:line="240" w:lineRule="auto"/>
              <w:ind w:left="0" w:firstLine="0"/>
              <w:jc w:val="left"/>
            </w:pPr>
            <w:r>
              <w:rPr>
                <w:sz w:val="16"/>
                <w:szCs w:val="16"/>
              </w:rPr>
              <w:t xml:space="preserve">Öğretmenlerin LLM ve Bloom taksonomisiyle quiz hazırlamasını incelemek.</w:t>
            </w:r>
          </w:p>
        </w:tc>
        <w:tc>
          <w:tcPr>
            <w:tcW w:w="2050" w:type="dxa"/>
          </w:tcPr>
          <w:p>
            <w:pPr>
              <w:spacing w:before="0" w:after="0" w:line="240" w:lineRule="auto"/>
              <w:ind w:left="0" w:firstLine="0"/>
              <w:jc w:val="left"/>
            </w:pPr>
            <w:r>
              <w:rPr>
                <w:sz w:val="16"/>
                <w:szCs w:val="16"/>
              </w:rPr>
              <w:t xml:space="preserve">Basit ve beş örnekli Bloom istemiyle üretim; 24 öğretmen elle, basit ve Bloom sorularıyla quiz hazırladı; 8 değerlendirici puanladı.</w:t>
            </w:r>
          </w:p>
        </w:tc>
        <w:tc>
          <w:tcPr>
            <w:tcW w:w="1800" w:type="dxa"/>
          </w:tcPr>
          <w:p>
            <w:pPr>
              <w:spacing w:before="0" w:after="0" w:line="240" w:lineRule="auto"/>
              <w:ind w:left="0" w:firstLine="0"/>
              <w:jc w:val="left"/>
            </w:pPr>
            <w:r>
              <w:rPr>
                <w:sz w:val="16"/>
                <w:szCs w:val="16"/>
              </w:rPr>
              <w:t xml:space="preserve">120 Vikipedi bağlamı (biyoloji, makine öğrenmesi); GPT-3.5.</w:t>
            </w:r>
          </w:p>
        </w:tc>
        <w:tc>
          <w:tcPr>
            <w:tcW w:w="1938" w:type="dxa"/>
          </w:tcPr>
          <w:p>
            <w:pPr>
              <w:spacing w:before="0" w:after="0" w:line="240" w:lineRule="auto"/>
              <w:ind w:left="0" w:firstLine="0"/>
              <w:jc w:val="left"/>
            </w:pPr>
            <w:r>
              <w:rPr>
                <w:sz w:val="16"/>
                <w:szCs w:val="16"/>
              </w:rPr>
              <w:t xml:space="preserve">Üç quiz türü benzer kalitede; üretilen sorular kapsamı artırdı; öğretmenler Bloom sorularını daha çok kullandı ve tercih etti.</w:t>
            </w:r>
          </w:p>
        </w:tc>
      </w:tr>
      <w:tr>
        <w:trPr>
          <w:cantSplit/>
        </w:trPr>
        <w:tc>
          <w:tcPr>
            <w:tcW w:w="1250" w:type="dxa"/>
          </w:tcPr>
          <w:p>
            <w:pPr>
              <w:spacing w:before="0" w:after="0" w:line="240" w:lineRule="auto"/>
              <w:ind w:left="0" w:firstLine="0"/>
              <w:jc w:val="left"/>
            </w:pPr>
            <w:r>
              <w:rPr>
                <w:sz w:val="16"/>
                <w:szCs w:val="16"/>
              </w:rPr>
              <w:t xml:space="preserve">Es vd. (2024)</w:t>
            </w:r>
          </w:p>
        </w:tc>
        <w:tc>
          <w:tcPr>
            <w:tcW w:w="1750" w:type="dxa"/>
          </w:tcPr>
          <w:p>
            <w:pPr>
              <w:spacing w:before="0" w:after="0" w:line="240" w:lineRule="auto"/>
              <w:ind w:left="0" w:firstLine="0"/>
              <w:jc w:val="left"/>
            </w:pPr>
            <w:r>
              <w:rPr>
                <w:sz w:val="16"/>
                <w:szCs w:val="16"/>
              </w:rPr>
              <w:t xml:space="preserve">RAG sistemlerini insan etiketli doğru cevap olmadan değerlendirmek.</w:t>
            </w:r>
          </w:p>
        </w:tc>
        <w:tc>
          <w:tcPr>
            <w:tcW w:w="2050" w:type="dxa"/>
          </w:tcPr>
          <w:p>
            <w:pPr>
              <w:spacing w:before="0" w:after="0" w:line="240" w:lineRule="auto"/>
              <w:ind w:left="0" w:firstLine="0"/>
              <w:jc w:val="left"/>
            </w:pPr>
            <w:r>
              <w:rPr>
                <w:sz w:val="16"/>
                <w:szCs w:val="16"/>
              </w:rPr>
              <w:t xml:space="preserve">RAGAs çerçevesi: sadakat, cevap ilgililiği ve bağlam ilgililiği ölçütleri; insan yargısıyla karşılaştırma.</w:t>
            </w:r>
          </w:p>
        </w:tc>
        <w:tc>
          <w:tcPr>
            <w:tcW w:w="1800" w:type="dxa"/>
          </w:tcPr>
          <w:p>
            <w:pPr>
              <w:spacing w:before="0" w:after="0" w:line="240" w:lineRule="auto"/>
              <w:ind w:left="0" w:firstLine="0"/>
              <w:jc w:val="left"/>
            </w:pPr>
            <w:r>
              <w:rPr>
                <w:sz w:val="16"/>
                <w:szCs w:val="16"/>
              </w:rPr>
              <w:t xml:space="preserve">WikiEval (50 Vikipedi sayfası); gpt-3.5-turbo-16k.</w:t>
            </w:r>
          </w:p>
        </w:tc>
        <w:tc>
          <w:tcPr>
            <w:tcW w:w="1938" w:type="dxa"/>
          </w:tcPr>
          <w:p>
            <w:pPr>
              <w:spacing w:before="0" w:after="0" w:line="240" w:lineRule="auto"/>
              <w:ind w:left="0" w:firstLine="0"/>
              <w:jc w:val="left"/>
            </w:pPr>
            <w:r>
              <w:rPr>
                <w:sz w:val="16"/>
                <w:szCs w:val="16"/>
              </w:rPr>
              <w:t xml:space="preserve">İnsan yargısıyla uyum: sadakat 0,95, cevap ilgililiği 0,78, bağlam ilgililiği 0,70 (doğrudan puanlama 0,72 / 0,52 / 0,63).</w:t>
            </w:r>
          </w:p>
        </w:tc>
      </w:tr>
      <w:tr>
        <w:trPr>
          <w:cantSplit/>
        </w:trPr>
        <w:tc>
          <w:tcPr>
            <w:tcW w:w="1250" w:type="dxa"/>
          </w:tcPr>
          <w:p>
            <w:pPr>
              <w:spacing w:before="0" w:after="0" w:line="240" w:lineRule="auto"/>
              <w:ind w:left="0" w:firstLine="0"/>
              <w:jc w:val="left"/>
            </w:pPr>
            <w:r>
              <w:rPr>
                <w:sz w:val="16"/>
                <w:szCs w:val="16"/>
              </w:rPr>
              <w:t xml:space="preserve">Henkel vd. (2024)</w:t>
            </w:r>
          </w:p>
        </w:tc>
        <w:tc>
          <w:tcPr>
            <w:tcW w:w="1750" w:type="dxa"/>
          </w:tcPr>
          <w:p>
            <w:pPr>
              <w:spacing w:before="0" w:after="0" w:line="240" w:lineRule="auto"/>
              <w:ind w:left="0" w:firstLine="0"/>
              <w:jc w:val="left"/>
            </w:pPr>
            <w:r>
              <w:rPr>
                <w:sz w:val="16"/>
                <w:szCs w:val="16"/>
              </w:rPr>
              <w:t xml:space="preserve">Ortaokul matematik sorularında RAG’de kaynağa bağlılık ile insan tercihi dengesini incelemek.</w:t>
            </w:r>
          </w:p>
        </w:tc>
        <w:tc>
          <w:tcPr>
            <w:tcW w:w="2050" w:type="dxa"/>
          </w:tcPr>
          <w:p>
            <w:pPr>
              <w:spacing w:before="0" w:after="0" w:line="240" w:lineRule="auto"/>
              <w:ind w:left="0" w:firstLine="0"/>
              <w:jc w:val="left"/>
            </w:pPr>
            <w:r>
              <w:rPr>
                <w:sz w:val="16"/>
                <w:szCs w:val="16"/>
              </w:rPr>
              <w:t xml:space="preserve">Üç istem koşulu (RAG’siz, düşük ve yüksek yönlendirme); dokuz uzmanın cevapları sıralaması.</w:t>
            </w:r>
          </w:p>
        </w:tc>
        <w:tc>
          <w:tcPr>
            <w:tcW w:w="1800" w:type="dxa"/>
          </w:tcPr>
          <w:p>
            <w:pPr>
              <w:spacing w:before="0" w:after="0" w:line="240" w:lineRule="auto"/>
              <w:ind w:left="0" w:firstLine="0"/>
              <w:jc w:val="left"/>
            </w:pPr>
            <w:r>
              <w:rPr>
                <w:sz w:val="16"/>
                <w:szCs w:val="16"/>
              </w:rPr>
              <w:t xml:space="preserve">OpenStax Prealgebra ders kitabı; 51 gerçek öğrenci sorusu; GPT-3.5-turbo, ada-002.</w:t>
            </w:r>
          </w:p>
        </w:tc>
        <w:tc>
          <w:tcPr>
            <w:tcW w:w="1938" w:type="dxa"/>
          </w:tcPr>
          <w:p>
            <w:pPr>
              <w:spacing w:before="0" w:after="0" w:line="240" w:lineRule="auto"/>
              <w:ind w:left="0" w:firstLine="0"/>
              <w:jc w:val="left"/>
            </w:pPr>
            <w:r>
              <w:rPr>
                <w:sz w:val="16"/>
                <w:szCs w:val="16"/>
              </w:rPr>
              <w:t xml:space="preserve">Düşük yönlendirmeli cevaplar tercih edildi; yüksek yönlendirmeli ve RAG’siz arasında anlamlı fark yok; yüksek yönlendirme kaynağa bağlılığı artırdı.</w:t>
            </w:r>
          </w:p>
        </w:tc>
      </w:tr>
      <w:tr>
        <w:trPr>
          <w:cantSplit/>
        </w:trPr>
        <w:tc>
          <w:tcPr>
            <w:tcW w:w="1250" w:type="dxa"/>
          </w:tcPr>
          <w:p>
            <w:pPr>
              <w:spacing w:before="0" w:after="0" w:line="240" w:lineRule="auto"/>
              <w:ind w:left="0" w:firstLine="0"/>
              <w:jc w:val="left"/>
            </w:pPr>
            <w:r>
              <w:rPr>
                <w:sz w:val="16"/>
                <w:szCs w:val="16"/>
              </w:rPr>
              <w:t xml:space="preserve">Jacobs ve Jaschke (2024)</w:t>
            </w:r>
          </w:p>
        </w:tc>
        <w:tc>
          <w:tcPr>
            <w:tcW w:w="1750" w:type="dxa"/>
          </w:tcPr>
          <w:p>
            <w:pPr>
              <w:spacing w:before="0" w:after="0" w:line="240" w:lineRule="auto"/>
              <w:ind w:left="0" w:firstLine="0"/>
              <w:jc w:val="left"/>
            </w:pPr>
            <w:r>
              <w:rPr>
                <w:sz w:val="16"/>
                <w:szCs w:val="16"/>
              </w:rPr>
              <w:t xml:space="preserve">Programlama alıştırmalarındaki GPT-4 geri bildirimine ders kaydı içeriğini RAG ile eklemek.</w:t>
            </w:r>
          </w:p>
        </w:tc>
        <w:tc>
          <w:tcPr>
            <w:tcW w:w="2050" w:type="dxa"/>
          </w:tcPr>
          <w:p>
            <w:pPr>
              <w:spacing w:before="0" w:after="0" w:line="240" w:lineRule="auto"/>
              <w:ind w:left="0" w:firstLine="0"/>
              <w:jc w:val="left"/>
            </w:pPr>
            <w:r>
              <w:rPr>
                <w:sz w:val="16"/>
                <w:szCs w:val="16"/>
              </w:rPr>
              <w:t xml:space="preserve">Zaman damgalı transkript; 512 karakter / 64 örtüşmeli parçalar; iki aşamalı istem zinciri; 15 öğrenciyle kullanıcı değerlendirmesi.</w:t>
            </w:r>
          </w:p>
        </w:tc>
        <w:tc>
          <w:tcPr>
            <w:tcW w:w="1800" w:type="dxa"/>
          </w:tcPr>
          <w:p>
            <w:pPr>
              <w:spacing w:before="0" w:after="0" w:line="240" w:lineRule="auto"/>
              <w:ind w:left="0" w:firstLine="0"/>
              <w:jc w:val="left"/>
            </w:pPr>
            <w:r>
              <w:rPr>
                <w:sz w:val="16"/>
                <w:szCs w:val="16"/>
              </w:rPr>
              <w:t xml:space="preserve">Ders kayıtları (Whisper ile yazıya dökülmüş); ada-002, pgvector; GPT-4.</w:t>
            </w:r>
          </w:p>
        </w:tc>
        <w:tc>
          <w:tcPr>
            <w:tcW w:w="1938" w:type="dxa"/>
          </w:tcPr>
          <w:p>
            <w:pPr>
              <w:spacing w:before="0" w:after="0" w:line="240" w:lineRule="auto"/>
              <w:ind w:left="0" w:firstLine="0"/>
              <w:jc w:val="left"/>
            </w:pPr>
            <w:r>
              <w:rPr>
                <w:sz w:val="16"/>
                <w:szCs w:val="16"/>
              </w:rPr>
              <w:t xml:space="preserve">SUS 74,8; öğrenciler video bağlantılarını yararlı buldu; ders içerikli geri bildirimde ilk kelime ~18 sn, içeriksizde 1–2 sn.</w:t>
            </w:r>
          </w:p>
        </w:tc>
      </w:tr>
      <w:tr>
        <w:trPr>
          <w:cantSplit/>
        </w:trPr>
        <w:tc>
          <w:tcPr>
            <w:tcW w:w="1250" w:type="dxa"/>
          </w:tcPr>
          <w:p>
            <w:pPr>
              <w:spacing w:before="0" w:after="0" w:line="240" w:lineRule="auto"/>
              <w:ind w:left="0" w:firstLine="0"/>
              <w:jc w:val="left"/>
            </w:pPr>
            <w:r>
              <w:rPr>
                <w:sz w:val="16"/>
                <w:szCs w:val="16"/>
              </w:rPr>
              <w:t xml:space="preserve">Lodovico Molina vd. (2024)</w:t>
            </w:r>
          </w:p>
        </w:tc>
        <w:tc>
          <w:tcPr>
            <w:tcW w:w="1750" w:type="dxa"/>
          </w:tcPr>
          <w:p>
            <w:pPr>
              <w:spacing w:before="0" w:after="0" w:line="240" w:lineRule="auto"/>
              <w:ind w:left="0" w:firstLine="0"/>
              <w:jc w:val="left"/>
            </w:pPr>
            <w:r>
              <w:rPr>
                <w:sz w:val="16"/>
                <w:szCs w:val="16"/>
              </w:rPr>
              <w:t xml:space="preserve">Ders slaytlarından LLM’lerle bağlama uygun soru üretimini öğrenci değerlendirmeleriyle karşılaştırmak.</w:t>
            </w:r>
          </w:p>
        </w:tc>
        <w:tc>
          <w:tcPr>
            <w:tcW w:w="2050" w:type="dxa"/>
          </w:tcPr>
          <w:p>
            <w:pPr>
              <w:spacing w:before="0" w:after="0" w:line="240" w:lineRule="auto"/>
              <w:ind w:left="0" w:firstLine="0"/>
              <w:jc w:val="left"/>
            </w:pPr>
            <w:r>
              <w:rPr>
                <w:sz w:val="16"/>
                <w:szCs w:val="16"/>
              </w:rPr>
              <w:t xml:space="preserve">Llama 2-Chat 13B ile cevap çıkarma, ardından üç modelle soru üretme; öğrencilerin beş ölçütle puanlaması.</w:t>
            </w:r>
          </w:p>
        </w:tc>
        <w:tc>
          <w:tcPr>
            <w:tcW w:w="1800" w:type="dxa"/>
          </w:tcPr>
          <w:p>
            <w:pPr>
              <w:spacing w:before="0" w:after="0" w:line="240" w:lineRule="auto"/>
              <w:ind w:left="0" w:firstLine="0"/>
              <w:jc w:val="left"/>
            </w:pPr>
            <w:r>
              <w:rPr>
                <w:sz w:val="16"/>
                <w:szCs w:val="16"/>
              </w:rPr>
              <w:t xml:space="preserve">Örüntü tanıma dersinin 21 slaydı; GPT-3.5, Flan-T5 XXL, Llama 2-Chat 13B; 46 öğrenci, 246 soru, 5.339 değerlendirme.</w:t>
            </w:r>
          </w:p>
        </w:tc>
        <w:tc>
          <w:tcPr>
            <w:tcW w:w="1938" w:type="dxa"/>
          </w:tcPr>
          <w:p>
            <w:pPr>
              <w:spacing w:before="0" w:after="0" w:line="240" w:lineRule="auto"/>
              <w:ind w:left="0" w:firstLine="0"/>
              <w:jc w:val="left"/>
            </w:pPr>
            <w:r>
              <w:rPr>
                <w:sz w:val="16"/>
                <w:szCs w:val="16"/>
              </w:rPr>
              <w:t xml:space="preserve">Genel puanlar yüksek; Llama 2 ve GPT-3.5 sorularının %80’i açıklıkta ≥4; en belirgin fark soru-cevap uyumunda, en iyi GPT-3.5.</w:t>
            </w:r>
          </w:p>
        </w:tc>
      </w:tr>
      <w:tr>
        <w:trPr>
          <w:cantSplit/>
        </w:trPr>
        <w:tc>
          <w:tcPr>
            <w:tcW w:w="1250" w:type="dxa"/>
          </w:tcPr>
          <w:p>
            <w:pPr>
              <w:spacing w:before="0" w:after="0" w:line="240" w:lineRule="auto"/>
              <w:ind w:left="0" w:firstLine="0"/>
              <w:jc w:val="left"/>
            </w:pPr>
            <w:r>
              <w:rPr>
                <w:sz w:val="16"/>
                <w:szCs w:val="16"/>
              </w:rPr>
              <w:t xml:space="preserve">N. F. Liu vd. (2024)</w:t>
            </w:r>
          </w:p>
        </w:tc>
        <w:tc>
          <w:tcPr>
            <w:tcW w:w="1750" w:type="dxa"/>
          </w:tcPr>
          <w:p>
            <w:pPr>
              <w:spacing w:before="0" w:after="0" w:line="240" w:lineRule="auto"/>
              <w:ind w:left="0" w:firstLine="0"/>
              <w:jc w:val="left"/>
            </w:pPr>
            <w:r>
              <w:rPr>
                <w:sz w:val="16"/>
                <w:szCs w:val="16"/>
              </w:rPr>
              <w:t xml:space="preserve">Dil modellerinin uzun bağlamı, ilgili bilginin konumuna göre nasıl kullandığını ölçmek.</w:t>
            </w:r>
          </w:p>
        </w:tc>
        <w:tc>
          <w:tcPr>
            <w:tcW w:w="2050" w:type="dxa"/>
          </w:tcPr>
          <w:p>
            <w:pPr>
              <w:spacing w:before="0" w:after="0" w:line="240" w:lineRule="auto"/>
              <w:ind w:left="0" w:firstLine="0"/>
              <w:jc w:val="left"/>
            </w:pPr>
            <w:r>
              <w:rPr>
                <w:sz w:val="16"/>
                <w:szCs w:val="16"/>
              </w:rPr>
              <w:t xml:space="preserve">Çok belgeli soru-cevap ve anahtar-değer arama görevleri; cevap belgesinin konumu değiştirildi.</w:t>
            </w:r>
          </w:p>
        </w:tc>
        <w:tc>
          <w:tcPr>
            <w:tcW w:w="1800" w:type="dxa"/>
          </w:tcPr>
          <w:p>
            <w:pPr>
              <w:spacing w:before="0" w:after="0" w:line="240" w:lineRule="auto"/>
              <w:ind w:left="0" w:firstLine="0"/>
              <w:jc w:val="left"/>
            </w:pPr>
            <w:r>
              <w:rPr>
                <w:sz w:val="16"/>
                <w:szCs w:val="16"/>
              </w:rPr>
              <w:t xml:space="preserve">NaturalQuestions-Open’dan 2.655 soru; MPT-30B-Instruct, LongChat-13B, GPT-3.5-Turbo, Claude-1.3.</w:t>
            </w:r>
          </w:p>
        </w:tc>
        <w:tc>
          <w:tcPr>
            <w:tcW w:w="1938" w:type="dxa"/>
          </w:tcPr>
          <w:p>
            <w:pPr>
              <w:spacing w:before="0" w:after="0" w:line="240" w:lineRule="auto"/>
              <w:ind w:left="0" w:firstLine="0"/>
              <w:jc w:val="left"/>
            </w:pPr>
            <w:r>
              <w:rPr>
                <w:sz w:val="16"/>
                <w:szCs w:val="16"/>
              </w:rPr>
              <w:t xml:space="preserve">U biçimli eğri: başta/sonda iyi, ortada düşük; GPT-3.5 (20 belge) başta %75,8, ortada %53,8, belgesiz %56,1; 20 → 50 belge kazancı ~%1–1,5.</w:t>
            </w:r>
          </w:p>
        </w:tc>
      </w:tr>
      <w:tr>
        <w:trPr>
          <w:cantSplit/>
        </w:trPr>
        <w:tc>
          <w:tcPr>
            <w:tcW w:w="1250" w:type="dxa"/>
          </w:tcPr>
          <w:p>
            <w:pPr>
              <w:spacing w:before="0" w:after="0" w:line="240" w:lineRule="auto"/>
              <w:ind w:left="0" w:firstLine="0"/>
              <w:jc w:val="left"/>
            </w:pPr>
            <w:r>
              <w:rPr>
                <w:sz w:val="16"/>
                <w:szCs w:val="16"/>
              </w:rPr>
              <w:t xml:space="preserve">R. Liu vd. (2024)</w:t>
            </w:r>
          </w:p>
        </w:tc>
        <w:tc>
          <w:tcPr>
            <w:tcW w:w="1750" w:type="dxa"/>
          </w:tcPr>
          <w:p>
            <w:pPr>
              <w:spacing w:before="0" w:after="0" w:line="240" w:lineRule="auto"/>
              <w:ind w:left="0" w:firstLine="0"/>
              <w:jc w:val="left"/>
            </w:pPr>
            <w:r>
              <w:rPr>
                <w:sz w:val="16"/>
                <w:szCs w:val="16"/>
              </w:rPr>
              <w:t xml:space="preserve">CS50 dersine GPT-4 tabanlı yapay zekâ araçlarını entegre etmek ve deneyimi aktarmak.</w:t>
            </w:r>
          </w:p>
        </w:tc>
        <w:tc>
          <w:tcPr>
            <w:tcW w:w="2050" w:type="dxa"/>
          </w:tcPr>
          <w:p>
            <w:pPr>
              <w:spacing w:before="0" w:after="0" w:line="240" w:lineRule="auto"/>
              <w:ind w:left="0" w:firstLine="0"/>
              <w:jc w:val="left"/>
            </w:pPr>
            <w:r>
              <w:rPr>
                <w:sz w:val="16"/>
                <w:szCs w:val="16"/>
              </w:rPr>
              <w:t xml:space="preserve">Forum yanıtlarında RAG; istem enjeksiyonu koruması ve kullanım sınırı; öğretim elemanı onayı; dönem sonu anketi.</w:t>
            </w:r>
          </w:p>
        </w:tc>
        <w:tc>
          <w:tcPr>
            <w:tcW w:w="1800" w:type="dxa"/>
          </w:tcPr>
          <w:p>
            <w:pPr>
              <w:spacing w:before="0" w:after="0" w:line="240" w:lineRule="auto"/>
              <w:ind w:left="0" w:firstLine="0"/>
              <w:jc w:val="left"/>
            </w:pPr>
            <w:r>
              <w:rPr>
                <w:sz w:val="16"/>
                <w:szCs w:val="16"/>
              </w:rPr>
              <w:t xml:space="preserve">Ders altyazıları (30 sn parçalar); text-embedding-ada-002, ChromaDB; GPT-4; ~500 kampüs öğrencisi.</w:t>
            </w:r>
          </w:p>
        </w:tc>
        <w:tc>
          <w:tcPr>
            <w:tcW w:w="1938" w:type="dxa"/>
          </w:tcPr>
          <w:p>
            <w:pPr>
              <w:spacing w:before="0" w:after="0" w:line="240" w:lineRule="auto"/>
              <w:ind w:left="0" w:firstLine="0"/>
              <w:jc w:val="left"/>
            </w:pPr>
            <w:r>
              <w:rPr>
                <w:sz w:val="16"/>
                <w:szCs w:val="16"/>
              </w:rPr>
              <w:t xml:space="preserve">İçerik soruları 22/25 (%88), idari sorular 30/39 (%77) doğru; ankette yanıtlayanların %53’ü çok sevdi, %33’ü sevdi.</w:t>
            </w:r>
          </w:p>
        </w:tc>
      </w:tr>
      <w:tr>
        <w:trPr>
          <w:cantSplit/>
        </w:trPr>
        <w:tc>
          <w:tcPr>
            <w:tcW w:w="1250" w:type="dxa"/>
          </w:tcPr>
          <w:p>
            <w:pPr>
              <w:spacing w:before="0" w:after="0" w:line="240" w:lineRule="auto"/>
              <w:ind w:left="0" w:firstLine="0"/>
              <w:jc w:val="left"/>
            </w:pPr>
            <w:r>
              <w:rPr>
                <w:sz w:val="16"/>
                <w:szCs w:val="16"/>
              </w:rPr>
              <w:t xml:space="preserve">Miladi vd. (2024)</w:t>
            </w:r>
          </w:p>
        </w:tc>
        <w:tc>
          <w:tcPr>
            <w:tcW w:w="1750" w:type="dxa"/>
          </w:tcPr>
          <w:p>
            <w:pPr>
              <w:spacing w:before="0" w:after="0" w:line="240" w:lineRule="auto"/>
              <w:ind w:left="0" w:firstLine="0"/>
              <w:jc w:val="left"/>
            </w:pPr>
            <w:r>
              <w:rPr>
                <w:sz w:val="16"/>
                <w:szCs w:val="16"/>
              </w:rPr>
              <w:t xml:space="preserve">Standart GPT-4, RAG’li GPT-4 ve öğrencilerin MOOC alıştırmalarındaki başarısını karşılaştırmak.</w:t>
            </w:r>
          </w:p>
        </w:tc>
        <w:tc>
          <w:tcPr>
            <w:tcW w:w="2050" w:type="dxa"/>
          </w:tcPr>
          <w:p>
            <w:pPr>
              <w:spacing w:before="0" w:after="0" w:line="240" w:lineRule="auto"/>
              <w:ind w:left="0" w:firstLine="0"/>
              <w:jc w:val="left"/>
            </w:pPr>
            <w:r>
              <w:rPr>
                <w:sz w:val="16"/>
                <w:szCs w:val="16"/>
              </w:rPr>
              <w:t xml:space="preserve">Kosinüs benzerliğiyle parça seçimi; ‘öğrenme arkadaşı’ istemi; doktora öğrencisinin doğruluk ve ilgililik puanlaması.</w:t>
            </w:r>
          </w:p>
        </w:tc>
        <w:tc>
          <w:tcPr>
            <w:tcW w:w="1800" w:type="dxa"/>
          </w:tcPr>
          <w:p>
            <w:pPr>
              <w:spacing w:before="0" w:after="0" w:line="240" w:lineRule="auto"/>
              <w:ind w:left="0" w:firstLine="0"/>
              <w:jc w:val="left"/>
            </w:pPr>
            <w:r>
              <w:rPr>
                <w:sz w:val="16"/>
                <w:szCs w:val="16"/>
              </w:rPr>
              <w:t xml:space="preserve">Yapay zekâ MOOC’unun 33 Fransızca alıştırması; ada-002; GPT-4; 20 öğrenci.</w:t>
            </w:r>
          </w:p>
        </w:tc>
        <w:tc>
          <w:tcPr>
            <w:tcW w:w="1938" w:type="dxa"/>
          </w:tcPr>
          <w:p>
            <w:pPr>
              <w:spacing w:before="0" w:after="0" w:line="240" w:lineRule="auto"/>
              <w:ind w:left="0" w:firstLine="0"/>
              <w:jc w:val="left"/>
            </w:pPr>
            <w:r>
              <w:rPr>
                <w:sz w:val="16"/>
                <w:szCs w:val="16"/>
              </w:rPr>
              <w:t xml:space="preserve">Doğruluk %81 (GPT-4) – %85 (RAG), ilgililik %81 – %84; öğrenci ort. %60; boşluk doldurmada RAG %79’dan %71’e geriledi.</w:t>
            </w:r>
          </w:p>
        </w:tc>
      </w:tr>
      <w:tr>
        <w:trPr>
          <w:cantSplit/>
        </w:trPr>
        <w:tc>
          <w:tcPr>
            <w:tcW w:w="1250" w:type="dxa"/>
          </w:tcPr>
          <w:p>
            <w:pPr>
              <w:spacing w:before="0" w:after="0" w:line="240" w:lineRule="auto"/>
              <w:ind w:left="0" w:firstLine="0"/>
              <w:jc w:val="left"/>
            </w:pPr>
            <w:r>
              <w:rPr>
                <w:sz w:val="16"/>
                <w:szCs w:val="16"/>
              </w:rPr>
              <w:t xml:space="preserve">Moore vd. (2024)</w:t>
            </w:r>
          </w:p>
        </w:tc>
        <w:tc>
          <w:tcPr>
            <w:tcW w:w="1750" w:type="dxa"/>
          </w:tcPr>
          <w:p>
            <w:pPr>
              <w:spacing w:before="0" w:after="0" w:line="240" w:lineRule="auto"/>
              <w:ind w:left="0" w:firstLine="0"/>
              <w:jc w:val="left"/>
            </w:pPr>
            <w:r>
              <w:rPr>
                <w:sz w:val="16"/>
                <w:szCs w:val="16"/>
              </w:rPr>
              <w:t xml:space="preserve">Çoktan seçmeli soruları 19 maddelik soru yazım hataları listesiyle otomatik değerlendirmek.</w:t>
            </w:r>
          </w:p>
        </w:tc>
        <w:tc>
          <w:tcPr>
            <w:tcW w:w="2050" w:type="dxa"/>
          </w:tcPr>
          <w:p>
            <w:pPr>
              <w:spacing w:before="0" w:after="0" w:line="240" w:lineRule="auto"/>
              <w:ind w:left="0" w:firstLine="0"/>
              <w:jc w:val="left"/>
            </w:pPr>
            <w:r>
              <w:rPr>
                <w:sz w:val="16"/>
                <w:szCs w:val="16"/>
              </w:rPr>
              <w:t xml:space="preserve">SAQUET: metin eşleştirme, NLP (gömmeler, varlık tanıma) ve seçili noktalarda GPT-4; insan etiketleriyle karşılaştırma.</w:t>
            </w:r>
          </w:p>
        </w:tc>
        <w:tc>
          <w:tcPr>
            <w:tcW w:w="1800" w:type="dxa"/>
          </w:tcPr>
          <w:p>
            <w:pPr>
              <w:spacing w:before="0" w:after="0" w:line="240" w:lineRule="auto"/>
              <w:ind w:left="0" w:firstLine="0"/>
              <w:jc w:val="left"/>
            </w:pPr>
            <w:r>
              <w:rPr>
                <w:sz w:val="16"/>
                <w:szCs w:val="16"/>
              </w:rPr>
              <w:t xml:space="preserve">Beş alandan (kimya, istatistik, bilgisayar bilimi, beşeri bilimler, sağlık) insan etiketli 271 soru.</w:t>
            </w:r>
          </w:p>
        </w:tc>
        <w:tc>
          <w:tcPr>
            <w:tcW w:w="1938" w:type="dxa"/>
          </w:tcPr>
          <w:p>
            <w:pPr>
              <w:spacing w:before="0" w:after="0" w:line="240" w:lineRule="auto"/>
              <w:ind w:left="0" w:firstLine="0"/>
              <w:jc w:val="left"/>
            </w:pPr>
            <w:r>
              <w:rPr>
                <w:sz w:val="16"/>
                <w:szCs w:val="16"/>
              </w:rPr>
              <w:t xml:space="preserve">Yaygın ölçütler hatalı ve hatasız soruyu ayıramadı; etiket doğruluğu %94,13, birebir eşleşme %38, kabul/ret uyumu %75,3.</w:t>
            </w:r>
          </w:p>
        </w:tc>
      </w:tr>
      <w:tr>
        <w:trPr>
          <w:cantSplit/>
        </w:trPr>
        <w:tc>
          <w:tcPr>
            <w:tcW w:w="1250" w:type="dxa"/>
          </w:tcPr>
          <w:p>
            <w:pPr>
              <w:spacing w:before="0" w:after="0" w:line="240" w:lineRule="auto"/>
              <w:ind w:left="0" w:firstLine="0"/>
              <w:jc w:val="left"/>
            </w:pPr>
            <w:r>
              <w:rPr>
                <w:sz w:val="16"/>
                <w:szCs w:val="16"/>
              </w:rPr>
              <w:t xml:space="preserve">Polat vd. (2024)</w:t>
            </w:r>
          </w:p>
        </w:tc>
        <w:tc>
          <w:tcPr>
            <w:tcW w:w="1750" w:type="dxa"/>
          </w:tcPr>
          <w:p>
            <w:pPr>
              <w:spacing w:before="0" w:after="0" w:line="240" w:lineRule="auto"/>
              <w:ind w:left="0" w:firstLine="0"/>
              <w:jc w:val="left"/>
            </w:pPr>
            <w:r>
              <w:rPr>
                <w:sz w:val="16"/>
                <w:szCs w:val="16"/>
              </w:rPr>
              <w:t xml:space="preserve">Whisper’ın Türkçe başarımını ölçmek ve LoRA ile ince ayarın etkisini incelemek.</w:t>
            </w:r>
          </w:p>
        </w:tc>
        <w:tc>
          <w:tcPr>
            <w:tcW w:w="2050" w:type="dxa"/>
          </w:tcPr>
          <w:p>
            <w:pPr>
              <w:spacing w:before="0" w:after="0" w:line="240" w:lineRule="auto"/>
              <w:ind w:left="0" w:firstLine="0"/>
              <w:jc w:val="left"/>
            </w:pPr>
            <w:r>
              <w:rPr>
                <w:sz w:val="16"/>
                <w:szCs w:val="16"/>
              </w:rPr>
              <w:t xml:space="preserve">Beş Whisper boyutunun denenmesi; large-v2/v3 ve Google USM karşılaştırması; LoRA ile ince ayar.</w:t>
            </w:r>
          </w:p>
        </w:tc>
        <w:tc>
          <w:tcPr>
            <w:tcW w:w="1800" w:type="dxa"/>
          </w:tcPr>
          <w:p>
            <w:pPr>
              <w:spacing w:before="0" w:after="0" w:line="240" w:lineRule="auto"/>
              <w:ind w:left="0" w:firstLine="0"/>
              <w:jc w:val="left"/>
            </w:pPr>
            <w:r>
              <w:rPr>
                <w:sz w:val="16"/>
                <w:szCs w:val="16"/>
              </w:rPr>
              <w:t xml:space="preserve">Beş Türkçe veri kümesi: METU MS, TNST, FLEURS, Common Voice, TASRT.</w:t>
            </w:r>
          </w:p>
        </w:tc>
        <w:tc>
          <w:tcPr>
            <w:tcW w:w="1938" w:type="dxa"/>
          </w:tcPr>
          <w:p>
            <w:pPr>
              <w:spacing w:before="0" w:after="0" w:line="240" w:lineRule="auto"/>
              <w:ind w:left="0" w:firstLine="0"/>
              <w:jc w:val="left"/>
            </w:pPr>
            <w:r>
              <w:rPr>
                <w:sz w:val="16"/>
                <w:szCs w:val="16"/>
              </w:rPr>
              <w:t xml:space="preserve">large-v3’te kelime hata oranı %4,3–14,2; çoğu veri kümesinde large-v2 ve USM’den iyi; LoRA ile hata Common Voice’ta %49, FLEURS’ta %43 azaldı.</w:t>
            </w:r>
          </w:p>
        </w:tc>
      </w:tr>
      <w:tr>
        <w:trPr>
          <w:cantSplit/>
        </w:trPr>
        <w:tc>
          <w:tcPr>
            <w:tcW w:w="1250" w:type="dxa"/>
          </w:tcPr>
          <w:p>
            <w:pPr>
              <w:spacing w:before="0" w:after="0" w:line="240" w:lineRule="auto"/>
              <w:ind w:left="0" w:firstLine="0"/>
              <w:jc w:val="left"/>
            </w:pPr>
            <w:r>
              <w:rPr>
                <w:sz w:val="16"/>
                <w:szCs w:val="16"/>
              </w:rPr>
              <w:t xml:space="preserve">Scaria vd. (2024)</w:t>
            </w:r>
          </w:p>
        </w:tc>
        <w:tc>
          <w:tcPr>
            <w:tcW w:w="1750" w:type="dxa"/>
          </w:tcPr>
          <w:p>
            <w:pPr>
              <w:spacing w:before="0" w:after="0" w:line="240" w:lineRule="auto"/>
              <w:ind w:left="0" w:firstLine="0"/>
              <w:jc w:val="left"/>
            </w:pPr>
            <w:r>
              <w:rPr>
                <w:sz w:val="16"/>
                <w:szCs w:val="16"/>
              </w:rPr>
              <w:t xml:space="preserve">Beş LLM’in Bloom’un altı düzeyinde soru üretme başarısını ve istem bilgisi miktarının etkisini ölçmek.</w:t>
            </w:r>
          </w:p>
        </w:tc>
        <w:tc>
          <w:tcPr>
            <w:tcW w:w="2050" w:type="dxa"/>
          </w:tcPr>
          <w:p>
            <w:pPr>
              <w:spacing w:before="0" w:after="0" w:line="240" w:lineRule="auto"/>
              <w:ind w:left="0" w:firstLine="0"/>
              <w:jc w:val="left"/>
            </w:pPr>
            <w:r>
              <w:rPr>
                <w:sz w:val="16"/>
                <w:szCs w:val="16"/>
              </w:rPr>
              <w:t xml:space="preserve">Beş istem stratejisi; ders içeriği verilmeden üretim; iki uzman ve Gemini Pro ile dokuz maddelik ölçekle değerlendirme.</w:t>
            </w:r>
          </w:p>
        </w:tc>
        <w:tc>
          <w:tcPr>
            <w:tcW w:w="1800" w:type="dxa"/>
          </w:tcPr>
          <w:p>
            <w:pPr>
              <w:spacing w:before="0" w:after="0" w:line="240" w:lineRule="auto"/>
              <w:ind w:left="0" w:firstLine="0"/>
              <w:jc w:val="left"/>
            </w:pPr>
            <w:r>
              <w:rPr>
                <w:sz w:val="16"/>
                <w:szCs w:val="16"/>
              </w:rPr>
              <w:t xml:space="preserve">Lisansüstü veri bilimi dersinin 17 konusu; Mistral-7B, Llama-2-70B, PaLM 2, GPT-3.5, GPT-4; 2.550 soru.</w:t>
            </w:r>
          </w:p>
        </w:tc>
        <w:tc>
          <w:tcPr>
            <w:tcW w:w="1938" w:type="dxa"/>
          </w:tcPr>
          <w:p>
            <w:pPr>
              <w:spacing w:before="0" w:after="0" w:line="240" w:lineRule="auto"/>
              <w:ind w:left="0" w:firstLine="0"/>
              <w:jc w:val="left"/>
            </w:pPr>
            <w:r>
              <w:rPr>
                <w:sz w:val="16"/>
                <w:szCs w:val="16"/>
              </w:rPr>
              <w:t xml:space="preserve">Soruların %78’i yüksek kaliteli, bunların %65,56’sı hedef düzeyde; en iyi strateji düşünce zinciri + düzey açıklaması + örnek; ‘yaratma’ düzeyi zayıf.</w:t>
            </w:r>
          </w:p>
        </w:tc>
      </w:tr>
      <w:tr>
        <w:trPr>
          <w:cantSplit/>
        </w:trPr>
        <w:tc>
          <w:tcPr>
            <w:tcW w:w="1250" w:type="dxa"/>
          </w:tcPr>
          <w:p>
            <w:pPr>
              <w:spacing w:before="0" w:after="0" w:line="240" w:lineRule="auto"/>
              <w:ind w:left="0" w:firstLine="0"/>
              <w:jc w:val="left"/>
            </w:pPr>
            <w:r>
              <w:rPr>
                <w:sz w:val="16"/>
                <w:szCs w:val="16"/>
              </w:rPr>
              <w:t xml:space="preserve">Taneja vd. (2024)</w:t>
            </w:r>
          </w:p>
        </w:tc>
        <w:tc>
          <w:tcPr>
            <w:tcW w:w="1750" w:type="dxa"/>
          </w:tcPr>
          <w:p>
            <w:pPr>
              <w:spacing w:before="0" w:after="0" w:line="240" w:lineRule="auto"/>
              <w:ind w:left="0" w:firstLine="0"/>
              <w:jc w:val="left"/>
            </w:pPr>
            <w:r>
              <w:rPr>
                <w:sz w:val="16"/>
                <w:szCs w:val="16"/>
              </w:rPr>
              <w:t xml:space="preserve">Eğitim gerektirmeyen, güvenlik önlemli ChatGPT tabanlı bir sanal öğretim asistanı geliştirmek.</w:t>
            </w:r>
          </w:p>
        </w:tc>
        <w:tc>
          <w:tcPr>
            <w:tcW w:w="2050" w:type="dxa"/>
          </w:tcPr>
          <w:p>
            <w:pPr>
              <w:spacing w:before="0" w:after="0" w:line="240" w:lineRule="auto"/>
              <w:ind w:left="0" w:firstLine="0"/>
              <w:jc w:val="left"/>
            </w:pPr>
            <w:r>
              <w:rPr>
                <w:sz w:val="16"/>
                <w:szCs w:val="16"/>
              </w:rPr>
              <w:t xml:space="preserve">Gönderme çözümü, beceri sınıflandırıcı, ≥500 karakter ve %50 örtüşmeli parçalar, yoğun erişimle 20 parça, metinsel çıkarım kontrolü, kaynak gösterme.</w:t>
            </w:r>
          </w:p>
        </w:tc>
        <w:tc>
          <w:tcPr>
            <w:tcW w:w="1800" w:type="dxa"/>
          </w:tcPr>
          <w:p>
            <w:pPr>
              <w:spacing w:before="0" w:after="0" w:line="240" w:lineRule="auto"/>
              <w:ind w:left="0" w:firstLine="0"/>
              <w:jc w:val="left"/>
            </w:pPr>
            <w:r>
              <w:rPr>
                <w:sz w:val="16"/>
                <w:szCs w:val="16"/>
              </w:rPr>
              <w:t xml:space="preserve">Yapay zekâ dersinin programı, e-kitabı ve video transkriptleri; dört öğrencinin hazırladığı 150 soru; ChatGPT.</w:t>
            </w:r>
          </w:p>
        </w:tc>
        <w:tc>
          <w:tcPr>
            <w:tcW w:w="1938" w:type="dxa"/>
          </w:tcPr>
          <w:p>
            <w:pPr>
              <w:spacing w:before="0" w:after="0" w:line="240" w:lineRule="auto"/>
              <w:ind w:left="0" w:firstLine="0"/>
              <w:jc w:val="left"/>
            </w:pPr>
            <w:r>
              <w:rPr>
                <w:sz w:val="16"/>
                <w:szCs w:val="16"/>
              </w:rPr>
              <w:t xml:space="preserve">Jill Watson %76,7 doğru (OpenAI Assistants %31,3, eski Jill Watson %26,0); gerçek derste ortalama yanıt süresi 6,8 sn.</w:t>
            </w:r>
          </w:p>
        </w:tc>
      </w:tr>
    </w:tbl>
    <w:p>
      <w:pPr>
        <w:pStyle w:val="Balk1"/>
        <w:pageBreakBefore/>
      </w:pPr>
      <w:r>
        <w:t xml:space="preserve">Literatürden projeye çıkarımlarım</w:t>
      </w:r>
    </w:p>
    <w:p>
      <w:pPr>
        <w:jc w:val="both"/>
      </w:pPr>
      <w:r>
        <w:t xml:space="preserve">İncelediğim 2024–2026 dönemine ait 25 çalışma, geliştirdiğim sistemin yalnızca bir videoyu özetleyip soru üreten bir araç olmaktan çok, ürettiği her sorunun kaynağını gösterebilen ve doğrulanabilen bir öğrenme aracı olarak tasarlanması gerektiğini anlamamı sağlamıştır. Eğitimde RAG uygulamalarını derleyen çalışma halüsinasyonun tamamen önlenemediğini göstermiş; ders altyazılarına dayanan bir asistanın forum yanıtlarının doğruluğu %77–88 aralığında kalmış ve yanıtlar bir öğretim elemanının onayından geçirilmiştir. Bu nedenle sistemime kaynak gösterme, otomatik doğrulama ve insan denetimi ekleyeceğim. YouTube transkriptini, altyazı bulunmadığında Whisper ile elde edecek; Türkçede kelime hata oranının veri kümesine göre %4,3–14,2 arasında değiştiğini gösteren bulgular nedeniyle transkript kalitesini kendi videolarımda ölçeceğim. Transkripti önceden temizlemenin soru kalitesini artırmadığını gösteren bulgunun Türkçe için de geçerli olduğunu varsaymayacak, ham ve temizlenmiş transkripti karşılaştıracağım. Transkripti zaman damgalarını koruyan bölümlere ayıracak ve her soruyu videonun ilgili anına bağlayacağım. Anlamsal bölütlemenin gerçek belgelerde genellikle sabit boyutlu bölütlemeden üstün olmadığı, gömme modeli seçiminin ise bölütlemeden daha belirleyici olduğu bulgusundan hareketle iki bölütleme yöntemini kendi verimde karşılaştıracak; çok dilli gömme modelinin Türkçe transkriptlerdeki başarımını da ayrıca ölçeceğim, çünkü incelediğim gömme modeli makalesi Türkçe sorgularla yalnızca İngilizce belgelerden erişimi ölçmektedir. Uzun bağlamda ortadaki bilginin gözden kaçabildiği ve transkriptin tamamını bağlam olarak vermenin çoğu durumda en kötü sonuçlar arasında yer aldığı bulgularından hareketle isteme yalnızca en ilgili birkaç bölümü, en ilgilisi başta olacak biçimde vereceğim; bu kurulumu transkriptin tamamını bağlama veren bir kurulumla da karşılaştıracağım. Soru üretiminde revize Bloom taksonomisini temel alacak, Bloom düzeyini soru türüne eşleyecek ve örnek sorular, düşünce zinciri ile düzey açıklamasını aşırı bilgi yüklemeden birlikte kullanan bir istem protokolü oluşturacağım. Üretilen soruların yalnızca %36’sının hedeflenen Bloom düzeyinde çıktığını gösteren bulgu nedeniyle hedef düzeye uyumu ayrıca denetleyeceğim. Sorunun kaynak metne sadakatini RAGAs sadakat ölçütünün uyarlanmış biçimiyle, soru yazım hatalarını 19 maddelik listeyle, tekrar eden soruları benzerlik eşiğiyle, ekrandaki görsele atıf yapan soruları bağlamsal özgüllük ölçütüyle denetleyeceğim. Yinelemeli eleştiri-düzeltme turlarını az sayıda tutacak ve değerlendirmeyi soruyu üreten modelden bağımsız yapacağım; yaygın otomatik ölçütlerin hatalı soruları ayırt edemediği bulgusu nedeniyle sonuçları küçük bir öğretmen ve öğrenci grubunun değerlendirmeleriyle birlikte raporlayacağım. Soruları, modellerin açıklık ve soru-cevap uyumunun resmî sınavlar için yeterince güvenilir bulunmaması nedeniyle sınav değil alıştırma amacıyla sunacağım. Kendi prototipimi RAG’li ve RAG’siz sürümleriyle aynı video setinde karşılaştıracak, kullanılabilirliği SUS ölçeğiyle, mümkünse öğrenme etkisini ön test ve son testle ölçecek, yanıt süresini de izleyeceğim. Erişim, bağlam ve üretim adımlarını ayrı ayrı kaydederek hatalı soruların hangi adımda oluştuğunu izleyeceğim. Bu literatürden elde ettiğim temel kazanım, her teknolojiyi yalnızca sisteme eklemek yerine hangi sorunu çözdüğünü ve katkısının nasıl ölçüleceğini açıklayabilmektir. Dolayısıyla çalışmalardaki sonuçları tasarım gerekçesi olarak kullanacak; sistemimin soru kalitesi veya öğrenme üzerindeki etkisini ancak kendi ölçümlerim desteklediğinde ileri süreceğim.</w:t>
      </w:r>
    </w:p>
    <w:p>
      <w:pPr>
        <w:keepNext/>
        <w:spacing w:before="240" w:after="120"/>
        <w:ind w:left="0" w:firstLine="0"/>
        <w:jc w:val="center"/>
      </w:pPr>
      <w:r>
        <w:drawing>
          <wp:inline distT="0" distB="0" distL="0" distR="0">
            <wp:extent cx="5580380" cy="3138963"/>
            <wp:docPr id="101" name="Teknik mim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eknik_mimari.png"/>
                    <pic:cNvPicPr/>
                  </pic:nvPicPr>
                  <pic:blipFill>
                    <a:blip r:embed="rIdImg1"/>
                    <a:stretch>
                      <a:fillRect/>
                    </a:stretch>
                  </pic:blipFill>
                  <pic:spPr>
                    <a:xfrm>
                      <a:off x="0" y="0"/>
                      <a:ext cx="5580380" cy="3138963"/>
                    </a:xfrm>
                    <a:prstGeom prst="rect">
                      <a:avLst/>
                    </a:prstGeom>
                  </pic:spPr>
                </pic:pic>
              </a:graphicData>
            </a:graphic>
          </wp:inline>
        </w:drawing>
      </w:r>
    </w:p>
    <w:p>
      <w:pPr>
        <w:ind w:left="0" w:firstLine="0"/>
        <w:jc w:val="center"/>
      </w:pPr>
      <w:r>
        <w:rPr>
          <w:b/>
          <w:sz w:val="22"/>
          <w:szCs w:val="22"/>
        </w:rPr>
        <w:t xml:space="preserve">Şekil 1. </w:t>
      </w:r>
      <w:r>
        <w:rPr>
          <w:sz w:val="22"/>
          <w:szCs w:val="22"/>
        </w:rPr>
        <w:t xml:space="preserve">Sistemin teknik mimarisi</w:t>
      </w:r>
    </w:p>
    <w:p>
      <w:r>
        <w:br w:type="page"/>
      </w:r>
    </w:p>
    <w:p>
      <w:pPr>
        <w:pStyle w:val="Balk1"/>
      </w:pPr>
      <w:r>
        <w:t xml:space="preserve">Kaynakça</w:t>
      </w:r>
    </w:p>
    <w:p>
      <w:pPr>
        <w:pStyle w:val="Kaynakca"/>
        <w:keepLines/>
        <w:spacing w:after="140"/>
      </w:pPr>
      <w:r>
        <w:t xml:space="preserve">Arif, T., Asthana, S., &amp; Collins-Thompson, K. (2024). Generation and assessment of multiple-choice questions from video transcripts using large language models. In </w:t>
      </w:r>
      <w:r>
        <w:rPr>
          <w:i/>
        </w:rPr>
        <w:t xml:space="preserve">Proceedings of the Eleventh ACM Conference on Learning @ Scale (L@S ’24)</w:t>
      </w:r>
      <w:r>
        <w:t xml:space="preserve">. Association for Computing Machinery. https://doi.org/10.1145/3657604.3664714</w:t>
      </w:r>
    </w:p>
    <w:p>
      <w:pPr>
        <w:pStyle w:val="Kaynakca"/>
        <w:keepLines/>
        <w:spacing w:after="140"/>
      </w:pPr>
      <w:r>
        <w:t xml:space="preserve">Barnett, S., Kurniawan, S., Thudumu, S., Brannelly, Z., &amp; Abdelrazek, M. (2024). Seven failure points when engineering a retrieval augmented generation system. In </w:t>
      </w:r>
      <w:r>
        <w:rPr>
          <w:i/>
        </w:rPr>
        <w:t xml:space="preserve">Proceedings of the IEEE/ACM 3rd International Conference on AI Engineering – Software Engineering for AI (CAIN 2024)</w:t>
      </w:r>
      <w:r>
        <w:t xml:space="preserve"> (pp. 194–199). Association for Computing Machinery. https://doi.org/10.1145/3644815.3644945</w:t>
      </w:r>
    </w:p>
    <w:p>
      <w:pPr>
        <w:pStyle w:val="Kaynakca"/>
        <w:keepLines/>
        <w:spacing w:after="140"/>
      </w:pPr>
      <w:r>
        <w:t xml:space="preserve">Chen, J., Xiao, S., Zhang, P., Luo, K., Lian, D., &amp; Liu, Z. (2024). M3-Embedding: Multi-linguality, multi-functionality, multi-granularity text embeddings through self-knowledge distillation. In </w:t>
      </w:r>
      <w:r>
        <w:rPr>
          <w:i/>
        </w:rPr>
        <w:t xml:space="preserve">Findings of the Association for Computational Linguistics: ACL 2024</w:t>
      </w:r>
      <w:r>
        <w:t xml:space="preserve">. Association for Computational Linguistics. https://arxiv.org/abs/2402.03216</w:t>
      </w:r>
    </w:p>
    <w:p>
      <w:pPr>
        <w:pStyle w:val="Kaynakca"/>
        <w:keepLines/>
        <w:spacing w:after="140"/>
      </w:pPr>
      <w:r>
        <w:t xml:space="preserve">Doughty, J., Wan, Z., Bompelli, A., Qayum, J., Wang, T., Zhang, J., Zheng, Y., Doyle, A., Sridhar, P., Agarwal, A., Bogart, C., Keylor, E., Kultur, C., Savelka, J., &amp; Sakr, M. (2024). A comparative study of AI-generated (GPT-4) and human-crafted MCQs in programming education. In </w:t>
      </w:r>
      <w:r>
        <w:rPr>
          <w:i/>
        </w:rPr>
        <w:t xml:space="preserve">Proceedings of the 26th Australasian Computing Education Conference (ACE 2024)</w:t>
      </w:r>
      <w:r>
        <w:t xml:space="preserve"> (pp. 114–123). Association for Computing Machinery. https://doi.org/10.1145/3636243.3636256</w:t>
      </w:r>
    </w:p>
    <w:p>
      <w:pPr>
        <w:pStyle w:val="Kaynakca"/>
        <w:keepLines/>
        <w:spacing w:after="140"/>
      </w:pPr>
      <w:r>
        <w:t xml:space="preserve">Elkins, S., Kochmar, E., Cheung, J. C. K., &amp; Serban, I. (2024). How teachers can use large language models and Bloom’s taxonomy to create educational quizzes. </w:t>
      </w:r>
      <w:r>
        <w:rPr>
          <w:i/>
        </w:rPr>
        <w:t xml:space="preserve">Proceedings of the AAAI Conference on Artificial Intelligence, 38</w:t>
      </w:r>
      <w:r>
        <w:t xml:space="preserve">(21). https://doi.org/10.1609/aaai.v38i21.30353</w:t>
      </w:r>
    </w:p>
    <w:p>
      <w:pPr>
        <w:pStyle w:val="Kaynakca"/>
        <w:keepLines/>
        <w:spacing w:after="140"/>
      </w:pPr>
      <w:r>
        <w:t xml:space="preserve">Es, S., James, J., Espinosa-Anke, L., &amp; Schockaert, S. (2024). RAGAs: Automated evaluation of retrieval augmented generation. In </w:t>
      </w:r>
      <w:r>
        <w:rPr>
          <w:i/>
        </w:rPr>
        <w:t xml:space="preserve">Proceedings of the 18th Conference of the European Chapter of the Association for Computational Linguistics: System Demonstrations</w:t>
      </w:r>
      <w:r>
        <w:t xml:space="preserve"> (pp. 150–158). Association for Computational Linguistics. https://aclanthology.org/2024.eacl-demo.16</w:t>
      </w:r>
    </w:p>
    <w:p>
      <w:pPr>
        <w:pStyle w:val="Kaynakca"/>
        <w:keepLines/>
        <w:spacing w:after="140"/>
      </w:pPr>
      <w:r>
        <w:t xml:space="preserve">Henkel, O., Levonian, Z., Li, C., &amp; Postle, M. (2024). Retrieval-augmented generation to improve math question-answering: Trade-offs between groundedness and human preference. In B. Paaßen &amp; C. D. Epp (Eds.), </w:t>
      </w:r>
      <w:r>
        <w:rPr>
          <w:i/>
        </w:rPr>
        <w:t xml:space="preserve">Proceedings of the 17th International Conference on Educational Data Mining</w:t>
      </w:r>
      <w:r>
        <w:t xml:space="preserve"> (pp. 315–320). International Educational Data Mining Society. https://doi.org/10.5281/zenodo.12729824</w:t>
      </w:r>
    </w:p>
    <w:p>
      <w:pPr>
        <w:pStyle w:val="Kaynakca"/>
        <w:keepLines/>
        <w:spacing w:after="140"/>
      </w:pPr>
      <w:r>
        <w:t xml:space="preserve">Jacobs, S., &amp; Jaschke, S. (2024). Leveraging lecture content for improved feedback: Explorations with GPT-4 and retrieval augmented generation. In </w:t>
      </w:r>
      <w:r>
        <w:rPr>
          <w:i/>
        </w:rPr>
        <w:t xml:space="preserve">2024 36th International Conference on Software Engineering Education and Training (CSEE&amp;T)</w:t>
      </w:r>
      <w:r>
        <w:t xml:space="preserve"> (pp. 1–5). IEEE. https://arxiv.org/abs/2405.06681</w:t>
      </w:r>
    </w:p>
    <w:p>
      <w:pPr>
        <w:pStyle w:val="Kaynakca"/>
        <w:keepLines/>
        <w:spacing w:after="140"/>
      </w:pPr>
      <w:r>
        <w:t xml:space="preserve">Lodovico Molina, I., Švábenský, V., Minematsu, T., Chen, L., Okubo, F., &amp; Shimada, A. (2024). Comparison of large language models for generating contextually relevant questions. In </w:t>
      </w:r>
      <w:r>
        <w:rPr>
          <w:i/>
        </w:rPr>
        <w:t xml:space="preserve">Technology enhanced learning for inclusive and equitable quality education (ECTEL 2024)</w:t>
      </w:r>
      <w:r>
        <w:t xml:space="preserve">. Springer. https://doi.org/10.1007/978-3-031-72312-4_18</w:t>
      </w:r>
    </w:p>
    <w:p>
      <w:pPr>
        <w:pStyle w:val="Kaynakca"/>
        <w:keepLines/>
        <w:spacing w:after="140"/>
      </w:pPr>
      <w:r>
        <w:t xml:space="preserve">Liu, N. F., Lin, K., Hewitt, J., Paranjape, A., Bevilacqua, M., Petroni, F., &amp; Liang, P. (2024). Lost in the middle: How language models use long contexts. </w:t>
      </w:r>
      <w:r>
        <w:rPr>
          <w:i/>
        </w:rPr>
        <w:t xml:space="preserve">Transactions of the Association for Computational Linguistics, 12</w:t>
      </w:r>
      <w:r>
        <w:t xml:space="preserve">, 157–173. https://doi.org/10.1162/tacl_a_00638</w:t>
      </w:r>
    </w:p>
    <w:p>
      <w:pPr>
        <w:pStyle w:val="Kaynakca"/>
        <w:keepLines/>
        <w:spacing w:after="140"/>
      </w:pPr>
      <w:r>
        <w:t xml:space="preserve">Liu, R., Zenke, C., Liu, C., Holmes, A., Thornton, P., &amp; Malan, D. J. (2024). Teaching CS50 with AI: Leveraging generative artificial intelligence in computer science education. In </w:t>
      </w:r>
      <w:r>
        <w:rPr>
          <w:i/>
        </w:rPr>
        <w:t xml:space="preserve">Proceedings of the 55th ACM Technical Symposium on Computer Science Education V. 1 (SIGCSE 2024)</w:t>
      </w:r>
      <w:r>
        <w:t xml:space="preserve"> (pp. 750–756). Association for Computing Machinery. https://doi.org/10.1145/3626252.3630938</w:t>
      </w:r>
    </w:p>
    <w:p>
      <w:pPr>
        <w:pStyle w:val="Kaynakca"/>
        <w:keepLines/>
        <w:spacing w:after="140"/>
      </w:pPr>
      <w:r>
        <w:t xml:space="preserve">Miladi, F., Psyché, V., &amp; Lemire, D. (2024). Comparative performance of GPT-4, RAG-augmented GPT-4, and students in MOOCs [Yazar sürümü]. TELUQ University. https://r-libre.teluq.ca/3266</w:t>
      </w:r>
    </w:p>
    <w:p>
      <w:pPr>
        <w:pStyle w:val="Kaynakca"/>
        <w:keepLines/>
        <w:spacing w:after="140"/>
      </w:pPr>
      <w:r>
        <w:t xml:space="preserve">Moore, S., Costello, E., Nguyen, H. A., &amp; Stamper, J. (2024). An automatic question usability evaluation toolkit. In </w:t>
      </w:r>
      <w:r>
        <w:rPr>
          <w:i/>
        </w:rPr>
        <w:t xml:space="preserve">Artificial Intelligence in Education (AIED 2024)</w:t>
      </w:r>
      <w:r>
        <w:t xml:space="preserve"> (LNCS Vol. 14830, pp. 31–46). Springer. https://doi.org/10.1007/978-3-031-64299-9_3</w:t>
      </w:r>
    </w:p>
    <w:p>
      <w:pPr>
        <w:pStyle w:val="Kaynakca"/>
        <w:keepLines/>
        <w:spacing w:after="140"/>
      </w:pPr>
      <w:r>
        <w:t xml:space="preserve">Polat, H., Turan, A. K., Koçak, C., &amp; Ulaş, H. B. (2024). Implementation of a Whisper architecture-based Turkish automatic speech recognition (ASR) system and evaluation of the effect of fine-tuning with a low-rank adaptation (LoRA) adapter on its performance. </w:t>
      </w:r>
      <w:r>
        <w:rPr>
          <w:i/>
        </w:rPr>
        <w:t xml:space="preserve">Electronics, 13</w:t>
      </w:r>
      <w:r>
        <w:t xml:space="preserve">(21), 4227. https://doi.org/10.3390/electronics13214227</w:t>
      </w:r>
    </w:p>
    <w:p>
      <w:pPr>
        <w:pStyle w:val="Kaynakca"/>
        <w:keepLines/>
        <w:spacing w:after="140"/>
      </w:pPr>
      <w:r>
        <w:t xml:space="preserve">Scaria, N., Chenna, S. D., &amp; Subramani, D. (2024). Automated educational question generation at different Bloom’s skill levels using large language models: Strategies and evaluation. In </w:t>
      </w:r>
      <w:r>
        <w:rPr>
          <w:i/>
        </w:rPr>
        <w:t xml:space="preserve">Artificial Intelligence in Education (AIED 2024)</w:t>
      </w:r>
      <w:r>
        <w:t xml:space="preserve"> (LNAI Vol. 14830, pp. 165–179). Springer. https://doi.org/10.1007/978-3-031-64299-9_12</w:t>
      </w:r>
    </w:p>
    <w:p>
      <w:pPr>
        <w:pStyle w:val="Kaynakca"/>
        <w:keepLines/>
        <w:spacing w:after="140"/>
      </w:pPr>
      <w:r>
        <w:t xml:space="preserve">Taneja, K., Maiti, P., Kakar, S., Guruprasad, P., Rao, S., &amp; Goel, A. K. (2024). Jill Watson: A virtual teaching assistant powered by ChatGPT. In </w:t>
      </w:r>
      <w:r>
        <w:rPr>
          <w:i/>
        </w:rPr>
        <w:t xml:space="preserve">Artificial Intelligence in Education (AIED 2024)</w:t>
      </w:r>
      <w:r>
        <w:t xml:space="preserve"> (pp. 324–337). Springer. https://arxiv.org/abs/2405.11070</w:t>
      </w:r>
    </w:p>
    <w:p>
      <w:pPr>
        <w:pStyle w:val="Kaynakca"/>
        <w:keepLines/>
        <w:spacing w:after="140"/>
      </w:pPr>
      <w:r>
        <w:t xml:space="preserve">Li, Z., Wang, Z., Wang, W., Hung, K., Xie, H., &amp; Wang, F. L. (2025). Retrieval-augmented generation for educational application: A systematic survey. </w:t>
      </w:r>
      <w:r>
        <w:rPr>
          <w:i/>
        </w:rPr>
        <w:t xml:space="preserve">Computers and Education: Artificial Intelligence, 8</w:t>
      </w:r>
      <w:r>
        <w:t xml:space="preserve">, 100417. https://doi.org/10.1016/j.caeai.2025.100417</w:t>
      </w:r>
    </w:p>
    <w:p>
      <w:pPr>
        <w:pStyle w:val="Kaynakca"/>
        <w:keepLines/>
        <w:spacing w:after="140"/>
      </w:pPr>
      <w:r>
        <w:t xml:space="preserve">Maity, S., Deroy, A., &amp; Sarkar, S. (2025). Can large language models meet the challenge of generating school-level questions? </w:t>
      </w:r>
      <w:r>
        <w:rPr>
          <w:i/>
        </w:rPr>
        <w:t xml:space="preserve">Computers and Education: Artificial Intelligence, 8</w:t>
      </w:r>
      <w:r>
        <w:t xml:space="preserve">, 100370. https://doi.org/10.1016/j.caeai.2025.100370</w:t>
      </w:r>
    </w:p>
    <w:p>
      <w:pPr>
        <w:pStyle w:val="Kaynakca"/>
        <w:keepLines/>
        <w:spacing w:after="140"/>
      </w:pPr>
      <w:r>
        <w:t xml:space="preserve">Miladi, F., Psyché, V., Diattara, A., El Mawas, N., &amp; Lemire, D. (2025). Evaluating a GPT-4 and retrieval-augmented generation-based conversational agent to enhance learning experience in a MOOC. In </w:t>
      </w:r>
      <w:r>
        <w:rPr>
          <w:i/>
        </w:rPr>
        <w:t xml:space="preserve">Proceedings of the 17th International Conference on Computer Supported Education (CSEDU 2025)</w:t>
      </w:r>
      <w:r>
        <w:t xml:space="preserve"> (Vol. 2, pp. 347–354). SciTePress. https://r-libre.teluq.ca/3602</w:t>
      </w:r>
    </w:p>
    <w:p>
      <w:pPr>
        <w:pStyle w:val="Kaynakca"/>
        <w:keepLines/>
        <w:spacing w:after="140"/>
      </w:pPr>
      <w:r>
        <w:t xml:space="preserve">Pradeesh, N., Remya, T., Thushara, M. G., Arun Krishna, K., &amp; Pranav, V. (2025). Retrieval-augmented generation for multiple-choice questions and answers generation. </w:t>
      </w:r>
      <w:r>
        <w:rPr>
          <w:i/>
        </w:rPr>
        <w:t xml:space="preserve">Procedia Computer Science, 259</w:t>
      </w:r>
      <w:r>
        <w:t xml:space="preserve">, 504–511. https://doi.org/10.1016/j.procs.2025.03.352</w:t>
      </w:r>
    </w:p>
    <w:p>
      <w:pPr>
        <w:pStyle w:val="Kaynakca"/>
        <w:keepLines/>
        <w:spacing w:after="140"/>
      </w:pPr>
      <w:r>
        <w:t xml:space="preserve">Qu, R., Tu, R., &amp; Bao, F. S. (2025). Is semantic chunking worth the computational cost? In </w:t>
      </w:r>
      <w:r>
        <w:rPr>
          <w:i/>
        </w:rPr>
        <w:t xml:space="preserve">Findings of the Association for Computational Linguistics: NAACL 2025</w:t>
      </w:r>
      <w:r>
        <w:t xml:space="preserve"> (pp. 2155–2177). Association for Computational Linguistics. https://doi.org/10.18653/v1/2025.findings-naacl.114</w:t>
      </w:r>
    </w:p>
    <w:p>
      <w:pPr>
        <w:pStyle w:val="Kaynakca"/>
        <w:keepLines/>
        <w:spacing w:after="140"/>
      </w:pPr>
      <w:r>
        <w:t xml:space="preserve">Ray, S., Sharma, S., Aditya, S., &amp; Goyal, P. (2025). EduVidQA: Generating and evaluating long-form answers to student questions based on lecture videos. In </w:t>
      </w:r>
      <w:r>
        <w:rPr>
          <w:i/>
        </w:rPr>
        <w:t xml:space="preserve">Proceedings of the 2025 Conference on Empirical Methods in Natural Language Processing (EMNLP 2025)</w:t>
      </w:r>
      <w:r>
        <w:t xml:space="preserve">. Association for Computational Linguistics. https://arxiv.org/abs/2509.24120</w:t>
      </w:r>
    </w:p>
    <w:p>
      <w:pPr>
        <w:pStyle w:val="Kaynakca"/>
        <w:keepLines/>
        <w:spacing w:after="140"/>
      </w:pPr>
      <w:r>
        <w:t xml:space="preserve">Yao, Z., Parashar, A., Zhou, H., Jang, W. S., Ouyang, F., Yang, Z., &amp; Yu, H. (2025). MCQG-SRefine: Multiple choice question generation and evaluation with iterative self-critique, correction, and comparison feedback. In </w:t>
      </w:r>
      <w:r>
        <w:rPr>
          <w:i/>
        </w:rPr>
        <w:t xml:space="preserve">Proceedings of the 2025 Conference of the Nations of the Americas Chapter of the Association for Computational Linguistics: Human Language Technologies (Volume 1: Long Papers)</w:t>
      </w:r>
      <w:r>
        <w:t xml:space="preserve">. Association for Computational Linguistics. https://aclanthology.org/2025.naacl-long.538/</w:t>
      </w:r>
    </w:p>
    <w:p>
      <w:pPr>
        <w:pStyle w:val="Kaynakca"/>
        <w:keepLines/>
        <w:spacing w:after="140"/>
      </w:pPr>
      <w:r>
        <w:t xml:space="preserve">Tourigny, E. R., Acosta Simancas, A. M., Onen, D., Nightingale, M., &amp; MacDonald, E. (2026). A rigorous evaluation of agentic large language model workflows for multiple-choice question generation in advanced engineering courses. </w:t>
      </w:r>
      <w:r>
        <w:rPr>
          <w:i/>
        </w:rPr>
        <w:t xml:space="preserve">2026 ASEE Annual Conference &amp; Exposition</w:t>
      </w:r>
      <w:r>
        <w:t xml:space="preserve">. American Society for Engineering Education. https://peer.asee.org/59134</w:t>
      </w:r>
    </w:p>
    <w:p>
      <w:pPr>
        <w:pStyle w:val="Kaynakca"/>
        <w:keepLines/>
        <w:spacing w:after="140"/>
      </w:pPr>
      <w:r>
        <w:t xml:space="preserve">Yu, M., Nguyen, B., Zino, O., &amp; Jiang, M. (2026). Context selection and rewriting for video-based educational question generation. </w:t>
      </w:r>
      <w:r>
        <w:rPr>
          <w:i/>
        </w:rPr>
        <w:t xml:space="preserve">Proceedings of the AAAI Conference on Artificial Intelligence, 40</w:t>
      </w:r>
      <w:r>
        <w:t xml:space="preserve">(48). https://doi.org/10.1609/aaai.v40i48.42126</w:t>
      </w:r>
    </w:p>
    <w:sectPr w:rsidR="001E1475">
      <w:footerReference w:type="default" r:id="rId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F641" w14:textId="77777777" w:rsidR="00017384" w:rsidRDefault="00017384">
      <w:pPr>
        <w:spacing w:after="0" w:line="240" w:lineRule="auto"/>
      </w:pPr>
      <w:r>
        <w:separator/>
      </w:r>
    </w:p>
  </w:endnote>
  <w:endnote w:type="continuationSeparator" w:id="0">
    <w:p w14:paraId="0D5F2435" w14:textId="77777777" w:rsidR="00017384" w:rsidRDefault="00017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C7E2" w14:textId="77777777" w:rsidR="001E1475" w:rsidRDefault="00000000">
    <w:pPr>
      <w:ind w:firstLine="0"/>
      <w:jc w:val="center"/>
    </w:pPr>
    <w:proofErr w:type="spellStart"/>
    <w:r>
      <w:t>Sayfa</w:t>
    </w:r>
    <w:proofErr w:type="spellEnd"/>
    <w:r>
      <w:t xml:space="preserve"> </w:t>
    </w:r>
    <w:r>
      <w:fldChar w:fldCharType="begin"/>
    </w:r>
    <w:r>
      <w:instrText>PAGE</w:instrText>
    </w:r>
    <w:r>
      <w:fldChar w:fldCharType="separate"/>
    </w:r>
    <w:r w:rsidR="000025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E4CC2" w14:textId="77777777" w:rsidR="00017384" w:rsidRDefault="00017384">
      <w:pPr>
        <w:spacing w:after="0" w:line="240" w:lineRule="auto"/>
      </w:pPr>
      <w:r>
        <w:separator/>
      </w:r>
    </w:p>
  </w:footnote>
  <w:footnote w:type="continuationSeparator" w:id="0">
    <w:p w14:paraId="7D1C2E89" w14:textId="77777777" w:rsidR="00017384" w:rsidRDefault="000173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8B"/>
    <w:rsid w:val="000025F3"/>
    <w:rsid w:val="00017384"/>
    <w:rsid w:val="001E0236"/>
    <w:rsid w:val="001E1475"/>
    <w:rsid w:val="0025126D"/>
    <w:rsid w:val="004A46FF"/>
    <w:rsid w:val="004F3A33"/>
    <w:rsid w:val="00594912"/>
    <w:rsid w:val="00717FB5"/>
    <w:rsid w:val="007E718B"/>
    <w:rsid w:val="00A76F87"/>
    <w:rsid w:val="00B940DE"/>
    <w:rsid w:val="00CE7EBA"/>
    <w:rsid w:val="00E2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64D5"/>
  <w15:chartTrackingRefBased/>
  <w15:docId w15:val="{E05047EA-D358-47ED-A413-0885DD67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18B"/>
    <w:pPr>
      <w:spacing w:line="360" w:lineRule="auto"/>
      <w:ind w:firstLine="425"/>
    </w:pPr>
    <w:rPr>
      <w:rFonts w:ascii="Times New Roman" w:eastAsiaTheme="minorEastAsia" w:hAnsi="Times New Roman"/>
      <w:color w:val="000000"/>
      <w:kern w:val="0"/>
      <w:szCs w:val="22"/>
      <w14:ligatures w14:val="none"/>
    </w:rPr>
  </w:style>
  <w:style w:type="paragraph" w:styleId="Balk1">
    <w:name w:val="heading 1"/>
    <w:basedOn w:val="Normal"/>
    <w:next w:val="Normal"/>
    <w:link w:val="Balk1Char"/>
    <w:uiPriority w:val="9"/>
    <w:qFormat/>
    <w:rsid w:val="007E718B"/>
    <w:pPr>
      <w:keepNext/>
      <w:keepLines/>
      <w:spacing w:before="240" w:line="278" w:lineRule="auto"/>
      <w:ind w:firstLine="0"/>
      <w:outlineLvl w:val="0"/>
    </w:pPr>
    <w:rPr>
      <w:rFonts w:asciiTheme="majorHAnsi" w:eastAsiaTheme="majorEastAsia" w:hAnsiTheme="majorHAnsi" w:cstheme="majorBidi"/>
      <w:b/>
      <w:kern w:val="2"/>
      <w:szCs w:val="40"/>
      <w14:ligatures w14:val="standardContextual"/>
    </w:rPr>
  </w:style>
  <w:style w:type="paragraph" w:styleId="Balk2">
    <w:name w:val="heading 2"/>
    <w:basedOn w:val="Normal"/>
    <w:next w:val="Normal"/>
    <w:link w:val="Balk2Char"/>
    <w:uiPriority w:val="9"/>
    <w:semiHidden/>
    <w:unhideWhenUsed/>
    <w:qFormat/>
    <w:rsid w:val="007E71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7E718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7E718B"/>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Balk5">
    <w:name w:val="heading 5"/>
    <w:basedOn w:val="Normal"/>
    <w:next w:val="Normal"/>
    <w:link w:val="Balk5Char"/>
    <w:uiPriority w:val="9"/>
    <w:semiHidden/>
    <w:unhideWhenUsed/>
    <w:qFormat/>
    <w:rsid w:val="007E718B"/>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Balk6">
    <w:name w:val="heading 6"/>
    <w:basedOn w:val="Normal"/>
    <w:next w:val="Normal"/>
    <w:link w:val="Balk6Char"/>
    <w:uiPriority w:val="9"/>
    <w:semiHidden/>
    <w:unhideWhenUsed/>
    <w:qFormat/>
    <w:rsid w:val="007E718B"/>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Balk7">
    <w:name w:val="heading 7"/>
    <w:basedOn w:val="Normal"/>
    <w:next w:val="Normal"/>
    <w:link w:val="Balk7Char"/>
    <w:uiPriority w:val="9"/>
    <w:semiHidden/>
    <w:unhideWhenUsed/>
    <w:qFormat/>
    <w:rsid w:val="007E718B"/>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Balk8">
    <w:name w:val="heading 8"/>
    <w:basedOn w:val="Normal"/>
    <w:next w:val="Normal"/>
    <w:link w:val="Balk8Char"/>
    <w:uiPriority w:val="9"/>
    <w:semiHidden/>
    <w:unhideWhenUsed/>
    <w:qFormat/>
    <w:rsid w:val="007E718B"/>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Balk9">
    <w:name w:val="heading 9"/>
    <w:basedOn w:val="Normal"/>
    <w:next w:val="Normal"/>
    <w:link w:val="Balk9Char"/>
    <w:uiPriority w:val="9"/>
    <w:semiHidden/>
    <w:unhideWhenUsed/>
    <w:qFormat/>
    <w:rsid w:val="007E718B"/>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E718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E718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E718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E718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E718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E718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E718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E718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E718B"/>
    <w:rPr>
      <w:rFonts w:eastAsiaTheme="majorEastAsia" w:cstheme="majorBidi"/>
      <w:color w:val="272727" w:themeColor="text1" w:themeTint="D8"/>
    </w:rPr>
  </w:style>
  <w:style w:type="paragraph" w:styleId="KonuBal">
    <w:name w:val="Title"/>
    <w:basedOn w:val="Normal"/>
    <w:next w:val="Normal"/>
    <w:link w:val="KonuBalChar"/>
    <w:uiPriority w:val="10"/>
    <w:qFormat/>
    <w:rsid w:val="007E718B"/>
    <w:pPr>
      <w:spacing w:before="240" w:line="240" w:lineRule="auto"/>
      <w:ind w:firstLine="0"/>
      <w:contextualSpacing/>
    </w:pPr>
    <w:rPr>
      <w:rFonts w:asciiTheme="majorHAnsi" w:eastAsiaTheme="majorEastAsia" w:hAnsiTheme="majorHAnsi" w:cstheme="majorBidi"/>
      <w:b/>
      <w:spacing w:val="-10"/>
      <w:kern w:val="28"/>
      <w:sz w:val="28"/>
      <w:szCs w:val="56"/>
      <w14:ligatures w14:val="standardContextual"/>
    </w:rPr>
  </w:style>
  <w:style w:type="character" w:customStyle="1" w:styleId="KonuBalChar">
    <w:name w:val="Konu Başlığı Char"/>
    <w:basedOn w:val="VarsaylanParagrafYazTipi"/>
    <w:link w:val="KonuBal"/>
    <w:uiPriority w:val="10"/>
    <w:rsid w:val="007E718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E718B"/>
    <w:pPr>
      <w:numPr>
        <w:ilvl w:val="1"/>
      </w:numPr>
      <w:spacing w:line="278" w:lineRule="auto"/>
      <w:ind w:firstLine="42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7E718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E718B"/>
    <w:pPr>
      <w:spacing w:before="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AlntChar">
    <w:name w:val="Alıntı Char"/>
    <w:basedOn w:val="VarsaylanParagrafYazTipi"/>
    <w:link w:val="Alnt"/>
    <w:uiPriority w:val="29"/>
    <w:rsid w:val="007E718B"/>
    <w:rPr>
      <w:i/>
      <w:iCs/>
      <w:color w:val="404040" w:themeColor="text1" w:themeTint="BF"/>
    </w:rPr>
  </w:style>
  <w:style w:type="paragraph" w:styleId="ListeParagraf">
    <w:name w:val="List Paragraph"/>
    <w:basedOn w:val="Normal"/>
    <w:uiPriority w:val="34"/>
    <w:qFormat/>
    <w:rsid w:val="007E718B"/>
    <w:pPr>
      <w:spacing w:line="278" w:lineRule="auto"/>
      <w:ind w:left="720"/>
      <w:contextualSpacing/>
    </w:pPr>
    <w:rPr>
      <w:rFonts w:asciiTheme="minorHAnsi" w:eastAsiaTheme="minorHAnsi" w:hAnsiTheme="minorHAnsi"/>
      <w:color w:val="auto"/>
      <w:kern w:val="2"/>
      <w:szCs w:val="24"/>
      <w14:ligatures w14:val="standardContextual"/>
    </w:rPr>
  </w:style>
  <w:style w:type="character" w:styleId="GlVurgulama">
    <w:name w:val="Intense Emphasis"/>
    <w:basedOn w:val="VarsaylanParagrafYazTipi"/>
    <w:uiPriority w:val="21"/>
    <w:qFormat/>
    <w:rsid w:val="007E718B"/>
    <w:rPr>
      <w:i/>
      <w:iCs/>
      <w:color w:val="0F4761" w:themeColor="accent1" w:themeShade="BF"/>
    </w:rPr>
  </w:style>
  <w:style w:type="paragraph" w:styleId="GlAlnt">
    <w:name w:val="Intense Quote"/>
    <w:basedOn w:val="Normal"/>
    <w:next w:val="Normal"/>
    <w:link w:val="GlAlntChar"/>
    <w:uiPriority w:val="30"/>
    <w:qFormat/>
    <w:rsid w:val="007E71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GlAlntChar">
    <w:name w:val="Güçlü Alıntı Char"/>
    <w:basedOn w:val="VarsaylanParagrafYazTipi"/>
    <w:link w:val="GlAlnt"/>
    <w:uiPriority w:val="30"/>
    <w:rsid w:val="007E718B"/>
    <w:rPr>
      <w:i/>
      <w:iCs/>
      <w:color w:val="0F4761" w:themeColor="accent1" w:themeShade="BF"/>
    </w:rPr>
  </w:style>
  <w:style w:type="character" w:styleId="GlBavuru">
    <w:name w:val="Intense Reference"/>
    <w:basedOn w:val="VarsaylanParagrafYazTipi"/>
    <w:uiPriority w:val="32"/>
    <w:qFormat/>
    <w:rsid w:val="007E718B"/>
    <w:rPr>
      <w:b/>
      <w:bCs/>
      <w:smallCaps/>
      <w:color w:val="0F4761" w:themeColor="accent1" w:themeShade="BF"/>
      <w:spacing w:val="5"/>
    </w:rPr>
  </w:style>
  <w:style w:type="paragraph" w:customStyle="1" w:styleId="Kaynakca">
    <w:name w:val="Kaynakca"/>
    <w:basedOn w:val="Normal"/>
    <w:pPr>
      <w:spacing w:after="120" w:line="276" w:lineRule="auto"/>
      <w:ind w:left="425"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Img1" Type="http://schemas.openxmlformats.org/officeDocument/2006/relationships/image" Target="media/teknik_mimari.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3948</Words>
  <Characters>22507</Characters>
  <Application>Microsoft Office Word</Application>
  <DocSecurity>0</DocSecurity>
  <Lines>187</Lines>
  <Paragraphs>52</Paragraphs>
  <ScaleCrop>false</ScaleCrop>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Literatür Değerlendirmesi: RAG Tabanlı Soru Üretimi</dc:title>
  <dc:subject>23 ana çalışmanın kronolojik literatür değerlendirmesi</dc:subject>
  <dc:creator/>
  <cp:keywords/>
  <dc:description/>
  <cp:lastModifiedBy/>
  <cp:revision>5</cp:revision>
  <dcterms:created xsi:type="dcterms:W3CDTF">2026-09-29T10:08:00Z</dcterms:created>
  <dcterms:modified xsi:type="dcterms:W3CDTF">2026-09-30T10:33:00Z</dcterms:modified>
</cp:coreProperties>
</file>