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Luisa Valentina Camacho Gomez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1018489153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Luisa Valentina Camacho Gomez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1018489153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