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Diana Marcela Quevedo Moreno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1022365358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Diana Marcela Quevedo Moreno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1022365358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