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55F" w:rsidRPr="00625DA4" w:rsidRDefault="00625DA4">
      <w:pPr>
        <w:rPr>
          <w:lang w:val="fr-BE"/>
        </w:rPr>
      </w:pPr>
      <w:proofErr w:type="spellStart"/>
      <w:r w:rsidRPr="00625DA4">
        <w:rPr>
          <w:lang w:val="fr-BE"/>
        </w:rPr>
        <w:t>Param_plots</w:t>
      </w:r>
      <w:proofErr w:type="spellEnd"/>
      <w:r w:rsidRPr="00625DA4">
        <w:rPr>
          <w:lang w:val="fr-BE"/>
        </w:rPr>
        <w:t xml:space="preserve"> </w:t>
      </w:r>
      <w:proofErr w:type="spellStart"/>
      <w:r w:rsidRPr="00625DA4">
        <w:rPr>
          <w:lang w:val="fr-BE"/>
        </w:rPr>
        <w:t>interpretation</w:t>
      </w:r>
      <w:proofErr w:type="spellEnd"/>
    </w:p>
    <w:p w:rsidR="00625DA4" w:rsidRPr="00625DA4" w:rsidRDefault="00625DA4">
      <w:pPr>
        <w:rPr>
          <w:lang w:val="fr-BE"/>
        </w:rPr>
      </w:pPr>
      <w:proofErr w:type="spellStart"/>
      <w:r w:rsidRPr="00625DA4">
        <w:rPr>
          <w:lang w:val="fr-BE"/>
        </w:rPr>
        <w:t>EU_all_plots</w:t>
      </w:r>
      <w:proofErr w:type="spellEnd"/>
    </w:p>
    <w:p w:rsidR="00667AA1" w:rsidRPr="00060F78" w:rsidRDefault="00667AA1" w:rsidP="00667AA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060F78">
        <w:rPr>
          <w:rFonts w:ascii="Arial" w:hAnsi="Arial" w:cs="Arial"/>
          <w:b/>
          <w:sz w:val="20"/>
          <w:szCs w:val="20"/>
        </w:rPr>
        <w:t>0.5 hardly risk averse, 1.0 somewhat risk averse (normal), 2 rather risk averse, 3 very risk averse, 4 extremely risk averse, -0.5 risk-seeker, 0 indifferent.</w:t>
      </w:r>
    </w:p>
    <w:p w:rsidR="00667AA1" w:rsidRDefault="00667AA1" w:rsidP="00667AA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With moderate risk aversion, farmers install agrowells, as risk aversion increases, fewer agrowells installed (?)</w:t>
      </w:r>
    </w:p>
    <w:p w:rsidR="00667AA1" w:rsidRDefault="00667AA1" w:rsidP="00667AA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Could add something to reflect the overall reduction in risk when farmers install an agrowell</w:t>
      </w:r>
    </w:p>
    <w:p w:rsidR="00060F78" w:rsidRDefault="00060F78" w:rsidP="00060F7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farmers do bethma when the reservoir is low, except when farmers have very low risk aversion or when they prefer risk, still most farmers engage in bethma</w:t>
      </w:r>
    </w:p>
    <w:p w:rsidR="00060F78" w:rsidRDefault="00060F78" w:rsidP="00060F7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Plot instead fraction of farmers choosing bethma</w:t>
      </w:r>
    </w:p>
    <w:p w:rsidR="00060F78" w:rsidRDefault="00060F78" w:rsidP="00060F7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Income is always lower when reservoir levels are low, it seems that moderate risk (1) has highest potential income for farmers, though at this level, some farmers lose more</w:t>
      </w:r>
    </w:p>
    <w:p w:rsidR="00060F78" w:rsidRDefault="00060F78" w:rsidP="00060F7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OFC cultivation, for low reservoir levels, risk averse farmers plant OFCs; for normal and high, farmers with moderate risk aversion are more likely to plant OFCs (also more likely to own agrowells)</w:t>
      </w:r>
    </w:p>
    <w:p w:rsidR="00060F78" w:rsidRDefault="00060F78" w:rsidP="00060F7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Regret</w:t>
      </w:r>
    </w:p>
    <w:p w:rsidR="00060F78" w:rsidRPr="0045231E" w:rsidRDefault="00060F78" w:rsidP="00060F7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45231E">
        <w:rPr>
          <w:rFonts w:ascii="Arial" w:hAnsi="Arial" w:cs="Arial"/>
          <w:b/>
          <w:sz w:val="20"/>
          <w:szCs w:val="20"/>
        </w:rPr>
        <w:t>K:  the weight of the effect of the difference between the counterfactual and actual, i.e. the weight of the effect of regret.  Use values between 0.155 and 0.564 (</w:t>
      </w:r>
      <w:proofErr w:type="spellStart"/>
      <w:r w:rsidRPr="0045231E">
        <w:rPr>
          <w:rFonts w:ascii="Arial" w:hAnsi="Arial" w:cs="Arial"/>
          <w:b/>
          <w:sz w:val="20"/>
          <w:szCs w:val="20"/>
        </w:rPr>
        <w:t>Laciana</w:t>
      </w:r>
      <w:proofErr w:type="spellEnd"/>
      <w:r w:rsidRPr="0045231E">
        <w:rPr>
          <w:rFonts w:ascii="Arial" w:hAnsi="Arial" w:cs="Arial"/>
          <w:b/>
          <w:sz w:val="20"/>
          <w:szCs w:val="20"/>
        </w:rPr>
        <w:t xml:space="preserve"> et al 2005).</w:t>
      </w:r>
    </w:p>
    <w:p w:rsidR="00060F78" w:rsidRPr="0045231E" w:rsidRDefault="00060F78" w:rsidP="00060F7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45231E">
        <w:rPr>
          <w:rFonts w:ascii="Arial" w:hAnsi="Arial" w:cs="Arial"/>
          <w:b/>
          <w:sz w:val="20"/>
          <w:szCs w:val="20"/>
        </w:rPr>
        <w:t>B: decision maker’s sensitivity to the magnitude of the difference in utility between the counter factual and the actual; with a more differentiated response for larger values of B.  Use values between 0 and 0.9 (</w:t>
      </w:r>
      <w:proofErr w:type="spellStart"/>
      <w:r w:rsidRPr="0045231E">
        <w:rPr>
          <w:rFonts w:ascii="Arial" w:hAnsi="Arial" w:cs="Arial"/>
          <w:b/>
          <w:sz w:val="20"/>
          <w:szCs w:val="20"/>
        </w:rPr>
        <w:t>Laciana</w:t>
      </w:r>
      <w:proofErr w:type="spellEnd"/>
      <w:r w:rsidRPr="0045231E">
        <w:rPr>
          <w:rFonts w:ascii="Arial" w:hAnsi="Arial" w:cs="Arial"/>
          <w:b/>
          <w:sz w:val="20"/>
          <w:szCs w:val="20"/>
        </w:rPr>
        <w:t xml:space="preserve"> et al. 2005)</w:t>
      </w:r>
    </w:p>
    <w:p w:rsidR="0045231E" w:rsidRDefault="0045231E" w:rsidP="00060F7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Agrowell – I don’t see any sensitivity to K or B</w:t>
      </w:r>
    </w:p>
    <w:p w:rsidR="0045231E" w:rsidRDefault="0045231E" w:rsidP="00060F7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OFC – no obvious sensitivity to K, B, </w:t>
      </w:r>
      <w:proofErr w:type="spellStart"/>
      <w:r>
        <w:rPr>
          <w:rFonts w:ascii="Arial" w:hAnsi="Arial" w:cs="Arial"/>
          <w:sz w:val="20"/>
          <w:szCs w:val="20"/>
        </w:rPr>
        <w:t>rr</w:t>
      </w:r>
      <w:proofErr w:type="spellEnd"/>
      <w:r>
        <w:rPr>
          <w:rFonts w:ascii="Arial" w:hAnsi="Arial" w:cs="Arial"/>
          <w:sz w:val="20"/>
          <w:szCs w:val="20"/>
        </w:rPr>
        <w:t>, sensitivity to reservoir level</w:t>
      </w:r>
    </w:p>
    <w:p w:rsidR="0045231E" w:rsidRDefault="0045231E" w:rsidP="00060F7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Income – other than it being much lower with low reservoir, no real sensitivity</w:t>
      </w:r>
    </w:p>
    <w:p w:rsidR="0045231E" w:rsidRDefault="0045231E" w:rsidP="00060F7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Bethma – nothing really, other than reservoir</w:t>
      </w:r>
    </w:p>
    <w:p w:rsidR="0045231E" w:rsidRDefault="0045231E" w:rsidP="0045231E">
      <w:pPr>
        <w:rPr>
          <w:rFonts w:ascii="Arial" w:hAnsi="Arial" w:cs="Arial"/>
          <w:sz w:val="20"/>
          <w:szCs w:val="20"/>
        </w:rPr>
      </w:pPr>
    </w:p>
    <w:p w:rsidR="0045231E" w:rsidRDefault="0045231E" w:rsidP="0045231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Prospect</w:t>
      </w:r>
    </w:p>
    <w:p w:rsidR="0045231E" w:rsidRPr="0045231E" w:rsidRDefault="0045231E" w:rsidP="0045231E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45231E">
        <w:rPr>
          <w:rFonts w:ascii="Arial" w:hAnsi="Arial" w:cs="Arial"/>
          <w:b/>
          <w:sz w:val="20"/>
          <w:szCs w:val="20"/>
        </w:rPr>
        <w:t>Lambda ( &gt; 1):  degree of loss aversion; use 2.25 (</w:t>
      </w:r>
      <w:proofErr w:type="spellStart"/>
      <w:r w:rsidRPr="0045231E">
        <w:rPr>
          <w:rFonts w:ascii="Arial" w:hAnsi="Arial" w:cs="Arial"/>
          <w:b/>
          <w:sz w:val="20"/>
          <w:szCs w:val="20"/>
        </w:rPr>
        <w:t>Tvresky</w:t>
      </w:r>
      <w:proofErr w:type="spellEnd"/>
      <w:r w:rsidRPr="0045231E">
        <w:rPr>
          <w:rFonts w:ascii="Arial" w:hAnsi="Arial" w:cs="Arial"/>
          <w:b/>
          <w:sz w:val="20"/>
          <w:szCs w:val="20"/>
        </w:rPr>
        <w:t xml:space="preserve"> and </w:t>
      </w:r>
      <w:proofErr w:type="spellStart"/>
      <w:r w:rsidRPr="0045231E">
        <w:rPr>
          <w:rFonts w:ascii="Arial" w:hAnsi="Arial" w:cs="Arial"/>
          <w:b/>
          <w:sz w:val="20"/>
          <w:szCs w:val="20"/>
        </w:rPr>
        <w:t>Kahneman</w:t>
      </w:r>
      <w:proofErr w:type="spellEnd"/>
      <w:r w:rsidRPr="0045231E">
        <w:rPr>
          <w:rFonts w:ascii="Arial" w:hAnsi="Arial" w:cs="Arial"/>
          <w:b/>
          <w:sz w:val="20"/>
          <w:szCs w:val="20"/>
        </w:rPr>
        <w:t xml:space="preserve"> 1992)</w:t>
      </w:r>
    </w:p>
    <w:p w:rsidR="0045231E" w:rsidRDefault="0045231E" w:rsidP="0045231E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45231E">
        <w:rPr>
          <w:rFonts w:ascii="Arial" w:hAnsi="Arial" w:cs="Arial"/>
          <w:b/>
          <w:sz w:val="20"/>
          <w:szCs w:val="20"/>
        </w:rPr>
        <w:t>Alpha (0, 1):  non-linearity of the value function; accounts for degree of risk aversion (concavity) in the gain region and risk seeking (convexity) in the loss region.  Use 0.88 (</w:t>
      </w:r>
      <w:proofErr w:type="spellStart"/>
      <w:r w:rsidRPr="0045231E">
        <w:rPr>
          <w:rFonts w:ascii="Arial" w:hAnsi="Arial" w:cs="Arial"/>
          <w:b/>
          <w:sz w:val="20"/>
          <w:szCs w:val="20"/>
        </w:rPr>
        <w:t>Tversky</w:t>
      </w:r>
      <w:proofErr w:type="spellEnd"/>
      <w:r w:rsidRPr="0045231E">
        <w:rPr>
          <w:rFonts w:ascii="Arial" w:hAnsi="Arial" w:cs="Arial"/>
          <w:b/>
          <w:sz w:val="20"/>
          <w:szCs w:val="20"/>
        </w:rPr>
        <w:t xml:space="preserve"> and </w:t>
      </w:r>
      <w:bookmarkStart w:id="0" w:name="_GoBack"/>
      <w:bookmarkEnd w:id="0"/>
      <w:proofErr w:type="spellStart"/>
      <w:r w:rsidRPr="0045231E">
        <w:rPr>
          <w:rFonts w:ascii="Arial" w:hAnsi="Arial" w:cs="Arial"/>
          <w:b/>
          <w:sz w:val="20"/>
          <w:szCs w:val="20"/>
        </w:rPr>
        <w:t>Kahneman</w:t>
      </w:r>
      <w:proofErr w:type="spellEnd"/>
      <w:r w:rsidRPr="0045231E">
        <w:rPr>
          <w:rFonts w:ascii="Arial" w:hAnsi="Arial" w:cs="Arial"/>
          <w:b/>
          <w:sz w:val="20"/>
          <w:szCs w:val="20"/>
        </w:rPr>
        <w:t xml:space="preserve"> 1992)</w:t>
      </w:r>
      <w:r w:rsidRPr="0045231E">
        <w:rPr>
          <w:rFonts w:ascii="Arial" w:hAnsi="Arial" w:cs="Arial"/>
          <w:b/>
          <w:sz w:val="20"/>
          <w:szCs w:val="20"/>
        </w:rPr>
        <w:t xml:space="preserve"> (</w:t>
      </w:r>
      <w:r w:rsidRPr="008C014A">
        <w:rPr>
          <w:rFonts w:ascii="Arial" w:hAnsi="Arial" w:cs="Arial"/>
          <w:b/>
          <w:color w:val="FF0000"/>
          <w:sz w:val="20"/>
          <w:szCs w:val="20"/>
        </w:rPr>
        <w:t>practical interpretation here</w:t>
      </w:r>
      <w:r w:rsidRPr="0045231E">
        <w:rPr>
          <w:rFonts w:ascii="Arial" w:hAnsi="Arial" w:cs="Arial"/>
          <w:b/>
          <w:sz w:val="20"/>
          <w:szCs w:val="20"/>
        </w:rPr>
        <w:t>?)</w:t>
      </w:r>
    </w:p>
    <w:p w:rsidR="0045231E" w:rsidRDefault="0045231E" w:rsidP="0045231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231E">
        <w:rPr>
          <w:rFonts w:ascii="Arial" w:hAnsi="Arial" w:cs="Arial"/>
          <w:sz w:val="20"/>
          <w:szCs w:val="20"/>
        </w:rPr>
        <w:t xml:space="preserve">Agrowell – under all reservoir levels, agrowell increases with </w:t>
      </w:r>
      <w:r w:rsidR="008C014A">
        <w:rPr>
          <w:rFonts w:ascii="Arial" w:hAnsi="Arial" w:cs="Arial"/>
          <w:sz w:val="20"/>
          <w:szCs w:val="20"/>
        </w:rPr>
        <w:t>alpha</w:t>
      </w:r>
    </w:p>
    <w:p w:rsidR="0045231E" w:rsidRDefault="0045231E" w:rsidP="0045231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Bethma decreases with </w:t>
      </w:r>
      <w:r w:rsidR="008C014A">
        <w:rPr>
          <w:rFonts w:ascii="Arial" w:hAnsi="Arial" w:cs="Arial"/>
          <w:sz w:val="20"/>
          <w:szCs w:val="20"/>
        </w:rPr>
        <w:t>alpha</w:t>
      </w:r>
      <w:r>
        <w:rPr>
          <w:rFonts w:ascii="Arial" w:hAnsi="Arial" w:cs="Arial"/>
          <w:sz w:val="20"/>
          <w:szCs w:val="20"/>
        </w:rPr>
        <w:t xml:space="preserve"> (interesting!) under low reservoir scenarios</w:t>
      </w:r>
    </w:p>
    <w:p w:rsidR="0045231E" w:rsidRDefault="008C014A" w:rsidP="0045231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Income increases with alpha (but there’s a split)</w:t>
      </w:r>
    </w:p>
    <w:p w:rsidR="008C014A" w:rsidRPr="0045231E" w:rsidRDefault="008C014A" w:rsidP="0045231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OFC cultivation increases with alpha </w:t>
      </w:r>
    </w:p>
    <w:p w:rsidR="0045231E" w:rsidRPr="0045231E" w:rsidRDefault="0045231E" w:rsidP="0045231E">
      <w:pPr>
        <w:rPr>
          <w:rFonts w:ascii="Arial" w:hAnsi="Arial" w:cs="Arial"/>
          <w:sz w:val="20"/>
          <w:szCs w:val="20"/>
        </w:rPr>
      </w:pPr>
    </w:p>
    <w:p w:rsidR="0045231E" w:rsidRPr="0045231E" w:rsidRDefault="0045231E" w:rsidP="0045231E">
      <w:pPr>
        <w:rPr>
          <w:rFonts w:ascii="Arial" w:hAnsi="Arial" w:cs="Arial"/>
          <w:sz w:val="20"/>
          <w:szCs w:val="20"/>
        </w:rPr>
      </w:pPr>
    </w:p>
    <w:p w:rsidR="00060F78" w:rsidRPr="00060F78" w:rsidRDefault="00060F78" w:rsidP="00060F78">
      <w:pPr>
        <w:rPr>
          <w:rFonts w:ascii="Arial" w:hAnsi="Arial" w:cs="Arial"/>
          <w:sz w:val="20"/>
          <w:szCs w:val="20"/>
        </w:rPr>
      </w:pPr>
    </w:p>
    <w:p w:rsidR="00625DA4" w:rsidRPr="00667AA1" w:rsidRDefault="00625DA4"/>
    <w:sectPr w:rsidR="00625DA4" w:rsidRPr="00667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F31AC"/>
    <w:multiLevelType w:val="hybridMultilevel"/>
    <w:tmpl w:val="97E22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C0BF4"/>
    <w:multiLevelType w:val="hybridMultilevel"/>
    <w:tmpl w:val="FB4C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DA4"/>
    <w:rsid w:val="00060F78"/>
    <w:rsid w:val="00197021"/>
    <w:rsid w:val="0045231E"/>
    <w:rsid w:val="00625DA4"/>
    <w:rsid w:val="00667AA1"/>
    <w:rsid w:val="008C014A"/>
    <w:rsid w:val="00C8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80294-8D34-4EC0-A8F2-A68B5013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Burchfield</dc:creator>
  <cp:keywords/>
  <dc:description/>
  <cp:lastModifiedBy>Emily Burchfield</cp:lastModifiedBy>
  <cp:revision>4</cp:revision>
  <dcterms:created xsi:type="dcterms:W3CDTF">2016-05-25T15:11:00Z</dcterms:created>
  <dcterms:modified xsi:type="dcterms:W3CDTF">2016-05-25T15:34:00Z</dcterms:modified>
</cp:coreProperties>
</file>