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RAG Q&amp;A Output</w:t>
      </w:r>
    </w:p>
    <w:p>
      <w:pPr>
        <w:pStyle w:val="Heading2"/>
      </w:pPr>
      <w:r>
        <w:t>Question</w:t>
      </w:r>
    </w:p>
    <w:p>
      <w:r>
        <w:t xml:space="preserve">how is the performance of Large Language Models (LLMs) is fundamentally determined </w:t>
      </w:r>
    </w:p>
    <w:p>
      <w:pPr>
        <w:pStyle w:val="Heading2"/>
      </w:pPr>
      <w:r>
        <w:t>Answer</w:t>
      </w:r>
    </w:p>
    <w:p>
      <w:r>
        <w:t>LLM performance is fundamentally determined by a combination of architectural constraints, training methodologies, and computational boundaries.  These factors influence capabilities like long-form output coherence, factual consistency, and planning sophistication.  Limitations in these areas may stem from the model's architecture, training data, or inherent computational limits.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