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2C610" w14:textId="77777777" w:rsidR="0085554E" w:rsidRDefault="0085554E" w:rsidP="00182EF8">
      <w:pPr>
        <w:rPr>
          <w:b/>
          <w:bCs/>
          <w:sz w:val="32"/>
          <w:szCs w:val="32"/>
        </w:rPr>
      </w:pPr>
      <w:r w:rsidRPr="0085554E">
        <w:rPr>
          <w:b/>
          <w:bCs/>
          <w:sz w:val="32"/>
          <w:szCs w:val="32"/>
        </w:rPr>
        <w:t xml:space="preserve">One-Page IR Checklist </w:t>
      </w:r>
    </w:p>
    <w:p w14:paraId="5EDFF05F" w14:textId="0AD16740" w:rsidR="00182EF8" w:rsidRPr="00182EF8" w:rsidRDefault="00182EF8" w:rsidP="00182EF8">
      <w:r w:rsidRPr="00182EF8">
        <w:t>The instructor has spoken about various external resources and links during the course. Below you will find the links and site information related to Lesson topics.  </w:t>
      </w:r>
    </w:p>
    <w:p w14:paraId="50154DD8" w14:textId="77777777" w:rsidR="00182EF8" w:rsidRPr="00182EF8" w:rsidRDefault="00182EF8" w:rsidP="00182EF8">
      <w:pPr>
        <w:numPr>
          <w:ilvl w:val="0"/>
          <w:numId w:val="1"/>
        </w:numPr>
        <w:tabs>
          <w:tab w:val="clear" w:pos="360"/>
          <w:tab w:val="num" w:pos="720"/>
        </w:tabs>
      </w:pPr>
      <w:r w:rsidRPr="00182EF8">
        <w:rPr>
          <w:b/>
          <w:bCs/>
        </w:rPr>
        <w:t>Article:</w:t>
      </w:r>
    </w:p>
    <w:p w14:paraId="28E5EC3A" w14:textId="721FD947" w:rsidR="0085554E" w:rsidRDefault="00182EF8" w:rsidP="0085554E">
      <w:hyperlink r:id="rId5" w:tgtFrame="_blank" w:history="1">
        <w:r w:rsidR="0085554E" w:rsidRPr="0085554E">
          <w:rPr>
            <w:rStyle w:val="Hyperlink"/>
          </w:rPr>
          <w:t xml:space="preserve">One-Page IR Checklist </w:t>
        </w:r>
        <w:r w:rsidRPr="00182EF8">
          <w:rPr>
            <w:rStyle w:val="Hyperlink"/>
          </w:rPr>
          <w:t xml:space="preserve"> </w:t>
        </w:r>
      </w:hyperlink>
      <w:r w:rsidR="0085554E">
        <w:t xml:space="preserve">: </w:t>
      </w:r>
      <w:r w:rsidR="0085554E">
        <w:t xml:space="preserve">The SANS "Incident Response Cycle" (also known as PICERL), featured in that PDF, outlines a structured approach to dealing with security incidents: </w:t>
      </w:r>
    </w:p>
    <w:p w14:paraId="54B3C928" w14:textId="77777777" w:rsidR="0085554E" w:rsidRDefault="0085554E" w:rsidP="0085554E">
      <w:r>
        <w:t>Preparation – Establish policies, tools, roles, threat intelligence, and incident</w:t>
      </w:r>
      <w:r>
        <w:rPr>
          <w:rFonts w:ascii="Cambria Math" w:hAnsi="Cambria Math" w:cs="Cambria Math"/>
        </w:rPr>
        <w:t>‑</w:t>
      </w:r>
      <w:r>
        <w:t xml:space="preserve">response processes. </w:t>
      </w:r>
    </w:p>
    <w:p w14:paraId="7EFC0F62" w14:textId="122FF417" w:rsidR="0085554E" w:rsidRDefault="0085554E" w:rsidP="0085554E">
      <w:r>
        <w:t xml:space="preserve">Identification &amp; Detection – Monitor systems and logs to recognize potential security events. </w:t>
      </w:r>
    </w:p>
    <w:p w14:paraId="3278745F" w14:textId="2C3EC2F0" w:rsidR="0085554E" w:rsidRDefault="0085554E" w:rsidP="0085554E">
      <w:r>
        <w:t xml:space="preserve">Containment – Limit the scope and damage of an incident in both short- and long-term. </w:t>
      </w:r>
    </w:p>
    <w:p w14:paraId="4DE2673A" w14:textId="3793768C" w:rsidR="0085554E" w:rsidRDefault="0085554E" w:rsidP="0085554E">
      <w:r>
        <w:t xml:space="preserve">Eradication – Remove malware, close vulnerabilities, and eliminate attacker presence. </w:t>
      </w:r>
    </w:p>
    <w:p w14:paraId="3DDD4227" w14:textId="77777777" w:rsidR="0085554E" w:rsidRDefault="0085554E" w:rsidP="0085554E">
      <w:r>
        <w:t xml:space="preserve">Recovery – Restore systems to normal operations and verify security measures are in place. </w:t>
      </w:r>
    </w:p>
    <w:p w14:paraId="4A611234" w14:textId="013A8A6E" w:rsidR="00CE4C8C" w:rsidRDefault="0085554E" w:rsidP="0085554E">
      <w:r>
        <w:t>Lessons Learned – Conduct post</w:t>
      </w:r>
      <w:r>
        <w:rPr>
          <w:rFonts w:ascii="Cambria Math" w:hAnsi="Cambria Math" w:cs="Cambria Math"/>
        </w:rPr>
        <w:t>‑</w:t>
      </w:r>
      <w:r>
        <w:t>incident reviews to improve future planning and preparedness.</w:t>
      </w:r>
    </w:p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A2C0E"/>
    <w:multiLevelType w:val="multilevel"/>
    <w:tmpl w:val="909E7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93678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F8"/>
    <w:rsid w:val="00135B88"/>
    <w:rsid w:val="00182EF8"/>
    <w:rsid w:val="003D0129"/>
    <w:rsid w:val="004C5859"/>
    <w:rsid w:val="0085554E"/>
    <w:rsid w:val="00C527FD"/>
    <w:rsid w:val="00CE4C8C"/>
    <w:rsid w:val="00D2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D9A9"/>
  <w15:chartTrackingRefBased/>
  <w15:docId w15:val="{8B0244A2-ECE7-4B09-BF6E-6128FEFA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E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E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55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ns.org/media/score/504-incident-response-cycl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Ranjodh Singh</cp:lastModifiedBy>
  <cp:revision>5</cp:revision>
  <dcterms:created xsi:type="dcterms:W3CDTF">2025-11-11T05:56:00Z</dcterms:created>
  <dcterms:modified xsi:type="dcterms:W3CDTF">2025-11-11T07:17:00Z</dcterms:modified>
</cp:coreProperties>
</file>