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 portal — page teasers (real content)</w:t>
      </w:r>
    </w:p>
    <w:p>
      <w:r>
        <w:rPr>
          <w:i/>
        </w:rPr>
        <w:t>Sources: https://european-union.europa.eu/index_en, /news-and-events/featured-news_en, /news-and-events/events_en, /priorities-and-actions_en — fetched 2026-08-03.</w:t>
      </w:r>
    </w:p>
    <w:p>
      <w:r>
        <w:rPr>
          <w:i/>
        </w:rPr>
        <w:t>This is a frozen snapshot (headlines/dates will go stale) — treat as a first exploratory real-content pass, not a live feed.</w:t>
      </w:r>
    </w:p>
    <w:p>
      <w:pPr>
        <w:pStyle w:val="Heading1"/>
      </w:pPr>
      <w:r>
        <w:t>Press release</w:t>
      </w:r>
    </w:p>
    <w:p>
      <w:pPr>
        <w:pStyle w:val="ListBullet"/>
      </w:pPr>
      <w:r>
        <w:rPr>
          <w:b/>
        </w:rPr>
        <w:t xml:space="preserve">EU launches AI Gigafactories call </w:t>
      </w:r>
      <w:r>
        <w:rPr>
          <w:i/>
        </w:rPr>
        <w:t>— Press release, 31 July 2026</w:t>
      </w:r>
    </w:p>
    <w:p>
      <w:pPr>
        <w:ind w:left="360"/>
      </w:pPr>
      <w:r>
        <w:t>The EU has launched a call for tenders to establish up to seven AI Gigafactories across Europe, expanding computing capacity and infrastructure access for training advanced frontier AI models.</w:t>
      </w:r>
    </w:p>
    <w:p>
      <w:pPr>
        <w:pStyle w:val="ListBullet"/>
      </w:pPr>
      <w:r>
        <w:rPr>
          <w:b/>
        </w:rPr>
        <w:t xml:space="preserve">New rules on AI transparency start applying </w:t>
      </w:r>
      <w:r>
        <w:rPr>
          <w:i/>
        </w:rPr>
        <w:t>— Press release, 31 July 2026</w:t>
      </w:r>
    </w:p>
    <w:p>
      <w:pPr>
        <w:ind w:left="360"/>
      </w:pPr>
      <w:r>
        <w:t>Starting 2 August 2026, new transparency rules require disclosure when people interact with AI systems or encounter AI-generated content, aimed at combating misinformation.</w:t>
      </w:r>
    </w:p>
    <w:p>
      <w:pPr>
        <w:pStyle w:val="ListBullet"/>
      </w:pPr>
      <w:r>
        <w:rPr>
          <w:b/>
        </w:rPr>
        <w:t xml:space="preserve">Frontex co-led operation seizes nearly half a tonne of cocaine off European shores </w:t>
      </w:r>
      <w:r>
        <w:rPr>
          <w:i/>
        </w:rPr>
        <w:t>— Press release, 27 July 2026</w:t>
      </w:r>
    </w:p>
    <w:p>
      <w:pPr>
        <w:ind w:left="360"/>
      </w:pPr>
      <w:r>
        <w:t>454 kg of cocaine seized during a month-long maritime operation involving 14 countries; five suspects arrested.</w:t>
      </w:r>
    </w:p>
    <w:p>
      <w:pPr>
        <w:pStyle w:val="ListBullet"/>
      </w:pPr>
      <w:r>
        <w:rPr>
          <w:b/>
        </w:rPr>
        <w:t xml:space="preserve">Wildfires: EU sends planes and firefighters to France and Spain </w:t>
      </w:r>
      <w:r>
        <w:rPr>
          <w:i/>
        </w:rPr>
        <w:t>— Press release, 27 July 2026</w:t>
      </w:r>
    </w:p>
    <w:p>
      <w:pPr>
        <w:ind w:left="360"/>
      </w:pPr>
      <w:r>
        <w:t>The EU deployed aircraft, personnel, and vehicles as wildfires displaced over 300,000 people across both nations.</w:t>
      </w:r>
    </w:p>
    <w:p>
      <w:pPr>
        <w:pStyle w:val="ListBullet"/>
      </w:pPr>
      <w:r>
        <w:rPr>
          <w:b/>
        </w:rPr>
        <w:t xml:space="preserve">Google fined for breaching Digital Markets Act </w:t>
      </w:r>
      <w:r>
        <w:rPr>
          <w:i/>
        </w:rPr>
        <w:t>— Press release, 23 July 2026</w:t>
      </w:r>
    </w:p>
    <w:p>
      <w:pPr>
        <w:ind w:left="360"/>
      </w:pPr>
      <w:r>
        <w:t>The Commission imposed a EUR 890 million fine for favouring Google services and restricting business alternatives.</w:t>
      </w:r>
    </w:p>
    <w:p>
      <w:pPr>
        <w:pStyle w:val="ListBullet"/>
      </w:pPr>
      <w:r>
        <w:rPr>
          <w:b/>
        </w:rPr>
        <w:t xml:space="preserve">A renewed commitment to protect and empower the EU's citizens </w:t>
      </w:r>
      <w:r>
        <w:rPr>
          <w:i/>
        </w:rPr>
        <w:t>— Press release, 22 July 2026</w:t>
      </w:r>
    </w:p>
    <w:p>
      <w:pPr>
        <w:ind w:left="360"/>
      </w:pPr>
      <w:r>
        <w:t>A Social Rights communication addresses three priority areas requiring urgent additional attention and protection.</w:t>
      </w:r>
    </w:p>
    <w:p>
      <w:pPr>
        <w:pStyle w:val="ListBullet"/>
      </w:pPr>
      <w:r>
        <w:rPr>
          <w:b/>
        </w:rPr>
        <w:t xml:space="preserve">A plan to make Europe the first electro-continent </w:t>
      </w:r>
      <w:r>
        <w:rPr>
          <w:i/>
        </w:rPr>
        <w:t>— Press release, 17 July 2026</w:t>
      </w:r>
    </w:p>
    <w:p>
      <w:pPr>
        <w:ind w:left="360"/>
      </w:pPr>
      <w:r>
        <w:t>An electrification action plan introduces measures to improve electricity competitiveness and adoption.</w:t>
      </w:r>
    </w:p>
    <w:p>
      <w:pPr>
        <w:pStyle w:val="ListBullet"/>
      </w:pPr>
      <w:r>
        <w:rPr>
          <w:b/>
        </w:rPr>
        <w:t xml:space="preserve">Europeans call for stronger action on children's online safety, survey finds </w:t>
      </w:r>
      <w:r>
        <w:rPr>
          <w:i/>
        </w:rPr>
        <w:t>— Press release, 13 July 2026</w:t>
      </w:r>
    </w:p>
    <w:p>
      <w:pPr>
        <w:ind w:left="360"/>
      </w:pPr>
      <w:r>
        <w:t>The survey shows 71% of respondents concerned about cyberbullying; Europeans also call for renewable energy expansion.</w:t>
      </w:r>
    </w:p>
    <w:p>
      <w:pPr>
        <w:pStyle w:val="ListBullet"/>
      </w:pPr>
      <w:r>
        <w:rPr>
          <w:b/>
        </w:rPr>
        <w:t xml:space="preserve">New EU measures support European farmers facing high fertiliser costs </w:t>
      </w:r>
      <w:r>
        <w:rPr>
          <w:i/>
        </w:rPr>
        <w:t>— Press release, 13 July 2026</w:t>
      </w:r>
    </w:p>
    <w:p>
      <w:pPr>
        <w:ind w:left="360"/>
      </w:pPr>
      <w:r>
        <w:t>Targeted financial support enables EU countries to assist farmers managing production cost pressures and liquidity challenges.</w:t>
      </w:r>
    </w:p>
    <w:p>
      <w:pPr>
        <w:pStyle w:val="ListBullet"/>
      </w:pPr>
      <w:r>
        <w:rPr>
          <w:b/>
        </w:rPr>
        <w:t xml:space="preserve">Safer cars, safer roads: New rules take effect </w:t>
      </w:r>
      <w:r>
        <w:rPr>
          <w:i/>
        </w:rPr>
        <w:t>— Press release, 8 July 2026</w:t>
      </w:r>
    </w:p>
    <w:p>
      <w:pPr>
        <w:ind w:left="360"/>
      </w:pPr>
      <w:r>
        <w:t>Advanced safety requirements apply to newly registered vehicles starting 7 July, part of the General Safety Regulation rollout.</w:t>
      </w:r>
    </w:p>
    <w:p>
      <w:pPr>
        <w:pStyle w:val="ListBullet"/>
      </w:pPr>
      <w:r>
        <w:rPr>
          <w:b/>
        </w:rPr>
        <w:t xml:space="preserve">Clearer social benefits rules for EU mobile workers </w:t>
      </w:r>
      <w:r>
        <w:rPr>
          <w:i/>
        </w:rPr>
        <w:t>— Press release, 7 July 2026</w:t>
      </w:r>
    </w:p>
    <w:p>
      <w:pPr>
        <w:ind w:left="360"/>
      </w:pPr>
      <w:r>
        <w:t>Updated regulations clarify unemployment, family, and long-term care benefit access for cross-border EU workers.</w:t>
      </w:r>
    </w:p>
    <w:p>
      <w:pPr>
        <w:pStyle w:val="Heading1"/>
      </w:pPr>
      <w:r>
        <w:t>News article</w:t>
      </w:r>
    </w:p>
    <w:p>
      <w:pPr>
        <w:pStyle w:val="ListBullet"/>
      </w:pPr>
      <w:r>
        <w:rPr>
          <w:b/>
        </w:rPr>
        <w:t xml:space="preserve">Submit your contribution on school education until 8 September </w:t>
      </w:r>
      <w:r>
        <w:rPr>
          <w:i/>
        </w:rPr>
        <w:t>— News article, 31 July 2026</w:t>
      </w:r>
    </w:p>
    <w:p>
      <w:pPr>
        <w:ind w:left="360"/>
      </w:pPr>
      <w:r>
        <w:t>The European Commission invites stakeholders to contribute to upcoming policy initiatives on basic skills, the teaching profession, and digital infrastructure in schools.</w:t>
      </w:r>
    </w:p>
    <w:p>
      <w:pPr>
        <w:pStyle w:val="ListBullet"/>
      </w:pPr>
      <w:r>
        <w:rPr>
          <w:b/>
        </w:rPr>
        <w:t xml:space="preserve">Right to repair: New consumer rights for easy and attractive repairs </w:t>
      </w:r>
      <w:r>
        <w:rPr>
          <w:i/>
        </w:rPr>
        <w:t>— News article, 30 July 2026</w:t>
      </w:r>
    </w:p>
    <w:p>
      <w:pPr>
        <w:ind w:left="360"/>
      </w:pPr>
      <w:r>
        <w:t>The repair directive became law on 31 July, promoting product repairs over new purchases and supporting circular economy goals.</w:t>
      </w:r>
    </w:p>
    <w:p>
      <w:pPr>
        <w:pStyle w:val="ListBullet"/>
      </w:pPr>
      <w:r>
        <w:rPr>
          <w:b/>
        </w:rPr>
        <w:t xml:space="preserve">Know your EU passenger rights before you travel </w:t>
      </w:r>
      <w:r>
        <w:rPr>
          <w:i/>
        </w:rPr>
        <w:t>— News article, 29 July 2026</w:t>
      </w:r>
    </w:p>
    <w:p>
      <w:pPr>
        <w:ind w:left="360"/>
      </w:pPr>
      <w:r>
        <w:t>EU-wide protections cover flight cancellations, train delays, and lost luggage across multiple transport modes.</w:t>
      </w:r>
    </w:p>
    <w:p>
      <w:pPr>
        <w:pStyle w:val="ListBullet"/>
      </w:pPr>
      <w:r>
        <w:rPr>
          <w:b/>
        </w:rPr>
        <w:t xml:space="preserve">New EU energy rules: cleaner, more secure energy and stronger consumer protection </w:t>
      </w:r>
      <w:r>
        <w:rPr>
          <w:i/>
        </w:rPr>
        <w:t>— News article, 24 July 2026</w:t>
      </w:r>
    </w:p>
    <w:p>
      <w:pPr>
        <w:ind w:left="360"/>
      </w:pPr>
      <w:r>
        <w:t>Electricity and gas market rules enhance energy security, protect consumers from price spikes, and expand choice.</w:t>
      </w:r>
    </w:p>
    <w:p>
      <w:pPr>
        <w:pStyle w:val="ListBullet"/>
      </w:pPr>
      <w:r>
        <w:rPr>
          <w:b/>
        </w:rPr>
        <w:t xml:space="preserve">Rule of law report strengthens EU democracy and fundamental rights </w:t>
      </w:r>
      <w:r>
        <w:rPr>
          <w:i/>
        </w:rPr>
        <w:t>— News article, 17 July 2026</w:t>
      </w:r>
    </w:p>
    <w:p>
      <w:pPr>
        <w:ind w:left="360"/>
      </w:pPr>
      <w:r>
        <w:t>The 2026 report covers EU member states and four candidates, noting continued progress despite persisting challenges.</w:t>
      </w:r>
    </w:p>
    <w:p>
      <w:pPr>
        <w:pStyle w:val="ListBullet"/>
      </w:pPr>
      <w:r>
        <w:rPr>
          <w:b/>
        </w:rPr>
        <w:t xml:space="preserve">Venezuela earthquakes: EU provides EUR 20 million in humanitarian funding </w:t>
      </w:r>
      <w:r>
        <w:rPr>
          <w:i/>
        </w:rPr>
        <w:t>— News article, 15 July 2026</w:t>
      </w:r>
    </w:p>
    <w:p>
      <w:pPr>
        <w:ind w:left="360"/>
      </w:pPr>
      <w:r>
        <w:t>Funding supports search, rescue, medical operations and expert deployment following recent seismic events.</w:t>
      </w:r>
    </w:p>
    <w:p>
      <w:pPr>
        <w:pStyle w:val="ListBullet"/>
      </w:pPr>
      <w:r>
        <w:rPr>
          <w:b/>
        </w:rPr>
        <w:t xml:space="preserve">New EU plan to address the risks and opportunities of advanced AI for cybersecurity </w:t>
      </w:r>
      <w:r>
        <w:rPr>
          <w:i/>
        </w:rPr>
        <w:t>— News article, 7 July 2026</w:t>
      </w:r>
    </w:p>
    <w:p>
      <w:pPr>
        <w:ind w:left="360"/>
      </w:pPr>
      <w:r>
        <w:t>The Commission presented a framework addressing artificial intelligence threats and opportunities in a cybersecurity context.</w:t>
      </w:r>
    </w:p>
    <w:p>
      <w:pPr>
        <w:pStyle w:val="ListBullet"/>
      </w:pPr>
      <w:r>
        <w:rPr>
          <w:b/>
        </w:rPr>
        <w:t xml:space="preserve">New plan to boost resilience and prosperity of livestock farming </w:t>
      </w:r>
      <w:r>
        <w:rPr>
          <w:i/>
        </w:rPr>
        <w:t>— News article, 7 July 2026</w:t>
      </w:r>
    </w:p>
    <w:p>
      <w:pPr>
        <w:ind w:left="360"/>
      </w:pPr>
      <w:r>
        <w:t>A strategy addresses economic, environmental, and market challenges across five priority areas for sector competitiveness.</w:t>
      </w:r>
    </w:p>
    <w:p>
      <w:pPr>
        <w:pStyle w:val="Heading1"/>
      </w:pPr>
      <w:r>
        <w:t>News announcement</w:t>
      </w:r>
    </w:p>
    <w:p>
      <w:pPr>
        <w:pStyle w:val="ListBullet"/>
      </w:pPr>
      <w:r>
        <w:rPr>
          <w:b/>
        </w:rPr>
        <w:t xml:space="preserve">Cast your vote on new euro banknote design proposals </w:t>
      </w:r>
      <w:r>
        <w:rPr>
          <w:i/>
        </w:rPr>
        <w:t>— News announcement, 24 July 2026</w:t>
      </w:r>
    </w:p>
    <w:p>
      <w:pPr>
        <w:ind w:left="360"/>
      </w:pPr>
      <w:r>
        <w:t>A public survey on ten shortlisted designs runs through 21 September; the winning proposal will be selected at year-end.</w:t>
      </w:r>
    </w:p>
    <w:p>
      <w:pPr>
        <w:pStyle w:val="Heading1"/>
      </w:pPr>
      <w:r>
        <w:t>Event</w:t>
      </w:r>
    </w:p>
    <w:p>
      <w:pPr>
        <w:pStyle w:val="ListBullet"/>
      </w:pPr>
      <w:r>
        <w:rPr>
          <w:b/>
        </w:rPr>
        <w:t xml:space="preserve">EU Arctic Forum </w:t>
      </w:r>
      <w:r>
        <w:t>— 1–3 September 2026, Brussels, Belgium (Conferences and summits)</w:t>
      </w:r>
    </w:p>
    <w:p>
      <w:pPr>
        <w:pStyle w:val="ListBullet"/>
      </w:pPr>
      <w:r>
        <w:rPr>
          <w:b/>
        </w:rPr>
        <w:t xml:space="preserve">International Product Safety Week </w:t>
      </w:r>
      <w:r>
        <w:t>— 7–10 September 2026, Brussels, Belgium (Conferences and summits)</w:t>
      </w:r>
    </w:p>
    <w:p>
      <w:pPr>
        <w:pStyle w:val="ListBullet"/>
      </w:pPr>
      <w:r>
        <w:rPr>
          <w:b/>
        </w:rPr>
        <w:t xml:space="preserve">Plenary Session of the European Parliament </w:t>
      </w:r>
      <w:r>
        <w:t>— 14–17 September 2026, Strasbourg, France (Political meetings)</w:t>
      </w:r>
    </w:p>
    <w:p>
      <w:pPr>
        <w:pStyle w:val="ListBullet"/>
      </w:pPr>
      <w:r>
        <w:rPr>
          <w:b/>
        </w:rPr>
        <w:t xml:space="preserve">European Mobility Week </w:t>
      </w:r>
      <w:r>
        <w:t>— 16–22 September 2026, (location not specified) (Conferences and summits)</w:t>
      </w:r>
    </w:p>
    <w:p>
      <w:pPr>
        <w:pStyle w:val="ListBullet"/>
      </w:pPr>
      <w:r>
        <w:rPr>
          <w:b/>
        </w:rPr>
        <w:t xml:space="preserve">Plenary session of the European Economic and Social Committee </w:t>
      </w:r>
      <w:r>
        <w:t>— 23–24 September 2026, Brussels, Belgium (Political meetings)</w:t>
      </w:r>
    </w:p>
    <w:p>
      <w:pPr>
        <w:pStyle w:val="ListBullet"/>
      </w:pPr>
      <w:r>
        <w:rPr>
          <w:b/>
        </w:rPr>
        <w:t xml:space="preserve">EU Access to Space Conference </w:t>
      </w:r>
      <w:r>
        <w:t>— 23 September 2026, Brussels, Belgium (Conferences and summits)</w:t>
      </w:r>
    </w:p>
    <w:p>
      <w:pPr>
        <w:pStyle w:val="ListBullet"/>
      </w:pPr>
      <w:r>
        <w:rPr>
          <w:b/>
        </w:rPr>
        <w:t xml:space="preserve">EU Organic Awards Ceremony </w:t>
      </w:r>
      <w:r>
        <w:t>— 23 September 2026, Brussels, Belgium (Competitions and award ceremonies)</w:t>
      </w:r>
    </w:p>
    <w:p>
      <w:pPr>
        <w:pStyle w:val="ListBullet"/>
      </w:pPr>
      <w:r>
        <w:rPr>
          <w:b/>
        </w:rPr>
        <w:t xml:space="preserve">The EU AgRI 2040 Conference </w:t>
      </w:r>
      <w:r>
        <w:t>— 24–25 September 2026, Brussels, Belgium (Conferences and summits)</w:t>
      </w:r>
    </w:p>
    <w:p>
      <w:pPr>
        <w:pStyle w:val="ListBullet"/>
      </w:pPr>
      <w:r>
        <w:rPr>
          <w:b/>
        </w:rPr>
        <w:t xml:space="preserve">Agriculture and Fisheries Council </w:t>
      </w:r>
      <w:r>
        <w:t>— 28–29 September 2026, Brussels, Belgium (Political meetings)</w:t>
      </w:r>
    </w:p>
    <w:p>
      <w:pPr>
        <w:pStyle w:val="ListBullet"/>
      </w:pPr>
      <w:r>
        <w:rPr>
          <w:b/>
        </w:rPr>
        <w:t xml:space="preserve">Connecting Europe Days </w:t>
      </w:r>
      <w:r>
        <w:t>— 28 September – 1 October 2026, Brussels, Belgium (Political meetings)</w:t>
      </w:r>
    </w:p>
    <w:p>
      <w:pPr>
        <w:pStyle w:val="Heading1"/>
      </w:pPr>
      <w:r>
        <w:t>Topic / priority</w:t>
      </w:r>
    </w:p>
    <w:p>
      <w:pPr>
        <w:pStyle w:val="ListBullet"/>
      </w:pPr>
      <w:r>
        <w:rPr>
          <w:b/>
        </w:rPr>
        <w:t xml:space="preserve">History of the EU </w:t>
      </w:r>
      <w:r>
        <w:t>— The following visionary leaders inspired the creation of the European Union we live in today.</w:t>
      </w:r>
    </w:p>
    <w:p>
      <w:pPr>
        <w:ind w:left="360"/>
      </w:pPr>
      <w:r>
        <w:rPr>
          <w:i/>
        </w:rPr>
        <w:t>https://european-union.europa.eu/principles-countries-history/history-eu_en</w:t>
      </w:r>
    </w:p>
    <w:p>
      <w:pPr>
        <w:pStyle w:val="ListBullet"/>
      </w:pPr>
      <w:r>
        <w:rPr>
          <w:b/>
        </w:rPr>
        <w:t xml:space="preserve">EU countries </w:t>
      </w:r>
      <w:r>
        <w:t>— Explore the countries of the European Union — find out when each joined the EU, Schengen or the euro.</w:t>
      </w:r>
    </w:p>
    <w:p>
      <w:pPr>
        <w:ind w:left="360"/>
      </w:pPr>
      <w:r>
        <w:rPr>
          <w:i/>
        </w:rPr>
        <w:t>https://european-union.europa.eu/principles-countries-history/eu-countries_en</w:t>
      </w:r>
    </w:p>
    <w:p>
      <w:pPr>
        <w:pStyle w:val="ListBullet"/>
      </w:pPr>
      <w:r>
        <w:rPr>
          <w:b/>
        </w:rPr>
        <w:t xml:space="preserve">Institutions and bodies </w:t>
      </w:r>
      <w:r>
        <w:t>— The European Union's institutional set-up is unique. Find out about the organisations involved in EU decision-making and their functions.</w:t>
      </w:r>
    </w:p>
    <w:p>
      <w:pPr>
        <w:ind w:left="360"/>
      </w:pPr>
      <w:r>
        <w:rPr>
          <w:i/>
        </w:rPr>
        <w:t>https://european-union.europa.eu/institutions-law-budget/institutions-and-bodies_en</w:t>
      </w:r>
    </w:p>
    <w:p>
      <w:pPr>
        <w:pStyle w:val="ListBullet"/>
      </w:pPr>
      <w:r>
        <w:rPr>
          <w:b/>
        </w:rPr>
        <w:t xml:space="preserve">EU priorities </w:t>
      </w:r>
      <w:r>
        <w:t>— Discover the EU's priorities for the coming years</w:t>
      </w:r>
    </w:p>
    <w:p>
      <w:pPr>
        <w:ind w:left="360"/>
      </w:pPr>
      <w:r>
        <w:rPr>
          <w:i/>
        </w:rPr>
        <w:t>https://european-union.europa.eu/priorities-and-actions_en</w:t>
      </w:r>
    </w:p>
    <w:p>
      <w:pPr>
        <w:pStyle w:val="ListBullet"/>
      </w:pPr>
      <w:r>
        <w:rPr>
          <w:b/>
        </w:rPr>
        <w:t xml:space="preserve">Actions by topic </w:t>
      </w:r>
      <w:r>
        <w:t>— How the EU achieves its key political and strategic objectives by topic</w:t>
      </w:r>
    </w:p>
    <w:p>
      <w:pPr>
        <w:ind w:left="360"/>
      </w:pPr>
      <w:r>
        <w:rPr>
          <w:i/>
        </w:rPr>
        <w:t>https://european-union.europa.eu/priorities-and-actions_en</w:t>
      </w:r>
    </w:p>
    <w:p>
      <w:pPr>
        <w:pStyle w:val="ListBullet"/>
      </w:pPr>
      <w:r>
        <w:rPr>
          <w:b/>
        </w:rPr>
        <w:t xml:space="preserve">EU support for Ukraine </w:t>
      </w:r>
      <w:r>
        <w:t>— Assistance for Ukraine's economy, society, reconstruction, and sanctions against Russia</w:t>
      </w:r>
    </w:p>
    <w:p>
      <w:pPr>
        <w:ind w:left="360"/>
      </w:pPr>
      <w:r>
        <w:rPr>
          <w:i/>
        </w:rPr>
        <w:t>https://european-union.europa.eu/priorities-and-actions_en</w:t>
      </w:r>
    </w:p>
    <w:p>
      <w:pPr>
        <w:pStyle w:val="Heading1"/>
      </w:pPr>
      <w:r>
        <w:t>Feature / story</w:t>
      </w:r>
    </w:p>
    <w:p>
      <w:pPr>
        <w:pStyle w:val="ListBullet"/>
      </w:pPr>
      <w:r>
        <w:rPr>
          <w:b/>
        </w:rPr>
        <w:t xml:space="preserve">What's in your suitcase? </w:t>
      </w:r>
      <w:r>
        <w:t>— Interactive story about EU consumer protections</w:t>
      </w:r>
    </w:p>
    <w:p>
      <w:pPr>
        <w:pStyle w:val="ListBullet"/>
      </w:pPr>
      <w:r>
        <w:rPr>
          <w:b/>
        </w:rPr>
        <w:t xml:space="preserve">10 ways the EU makes your life easier </w:t>
      </w:r>
      <w:r>
        <w:t>— Narrative journey with recurring characters (Sven, Elena, Sofia)</w:t>
      </w:r>
    </w:p>
    <w:p>
      <w:pPr>
        <w:pStyle w:val="ListBullet"/>
      </w:pPr>
      <w:r>
        <w:rPr>
          <w:b/>
        </w:rPr>
        <w:t xml:space="preserve">Learning corner </w:t>
      </w:r>
      <w:r>
        <w:t>— Educational materials for multiple age groups</w:t>
      </w:r>
    </w:p>
    <w:p>
      <w:pPr>
        <w:pStyle w:val="Heading1"/>
      </w:pPr>
      <w:r>
        <w:t>Resource</w:t>
      </w:r>
    </w:p>
    <w:p>
      <w:pPr>
        <w:pStyle w:val="ListBullet"/>
      </w:pPr>
      <w:r>
        <w:rPr>
          <w:b/>
        </w:rPr>
        <w:t xml:space="preserve">European Union priorities 2024-2029 </w:t>
      </w:r>
      <w:r>
        <w:t>— Strategic policy overview</w:t>
      </w:r>
    </w:p>
    <w:p>
      <w:pPr>
        <w:pStyle w:val="ListBullet"/>
      </w:pPr>
      <w:r>
        <w:rPr>
          <w:b/>
        </w:rPr>
        <w:t xml:space="preserve">Facts and figures on the European Union </w:t>
      </w:r>
      <w:r>
        <w:t>— Statistical resource</w:t>
      </w:r>
    </w:p>
    <w:p>
      <w:pPr>
        <w:pStyle w:val="ListBullet"/>
      </w:pPr>
      <w:r>
        <w:rPr>
          <w:b/>
        </w:rPr>
        <w:t xml:space="preserve">Achievements </w:t>
      </w:r>
      <w:r>
        <w:t>— Impact/outcomes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