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4A6E"/>
          <w:sz w:val="40"/>
        </w:rPr>
        <w:t>TCS 打滑控制自动分析报告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F4FF"/>
          </w:tcPr>
          <w:p>
            <w:r>
              <w:t>汇总文件数: 1</w:t>
            </w:r>
          </w:p>
        </w:tc>
        <w:tc>
          <w:tcPr>
            <w:tcW w:type="dxa" w:w="4320"/>
            <w:shd w:fill="E7F4FF"/>
          </w:tcPr>
          <w:p>
            <w:r>
              <w:t>分析配置: default</w:t>
            </w:r>
          </w:p>
        </w:tc>
      </w:tr>
      <w:tr>
        <w:tc>
          <w:tcPr>
            <w:tcW w:type="dxa" w:w="4320"/>
            <w:shd w:fill="E7F4FF"/>
          </w:tcPr>
          <w:p>
            <w:r>
              <w:t>分析摘要: 共分析 1 个文件，输出 4 条 KPI 结果。</w:t>
            </w:r>
          </w:p>
        </w:tc>
        <w:tc>
          <w:tcPr>
            <w:tcW w:type="dxa" w:w="4320"/>
            <w:shd w:fill="E7F4FF"/>
          </w:tcPr>
          <w:p>
            <w:r>
              <w:t>生成时间: 2026-04-12T11:03:22+08:00</w:t>
            </w:r>
          </w:p>
        </w:tc>
      </w:tr>
    </w:tbl>
    <w:p/>
    <w:p>
      <w:r>
        <w:rPr>
          <w:b/>
          <w:color w:val="0C4A6E"/>
          <w:sz w:val="26"/>
        </w:rPr>
        <w:t>默认组（全部 KPI）</w:t>
      </w:r>
    </w:p>
    <w:p>
      <w:r>
        <w:rPr>
          <w:b/>
          <w:sz w:val="23"/>
        </w:rPr>
        <w:t>tcs_demo.csv</w:t>
      </w:r>
      <w:r>
        <w:t xml:space="preserve">    KPI 项数: 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shd w:fill="D8EEFC"/>
          </w:tcPr>
          <w:p>
            <w:r>
              <w:t>KPI</w:t>
            </w:r>
          </w:p>
        </w:tc>
        <w:tc>
          <w:tcPr>
            <w:tcW w:type="dxa" w:w="1440"/>
            <w:vAlign w:val="center"/>
            <w:shd w:fill="D8EEFC"/>
          </w:tcPr>
          <w:p>
            <w:r>
              <w:t>描述</w:t>
            </w:r>
          </w:p>
        </w:tc>
        <w:tc>
          <w:tcPr>
            <w:tcW w:type="dxa" w:w="1440"/>
            <w:vAlign w:val="center"/>
            <w:shd w:fill="D8EEFC"/>
          </w:tcPr>
          <w:p>
            <w:r>
              <w:t>单位</w:t>
            </w:r>
          </w:p>
        </w:tc>
        <w:tc>
          <w:tcPr>
            <w:tcW w:type="dxa" w:w="1440"/>
            <w:vAlign w:val="center"/>
            <w:shd w:fill="D8EEFC"/>
          </w:tcPr>
          <w:p>
            <w:r>
              <w:t>数值</w:t>
            </w:r>
          </w:p>
        </w:tc>
        <w:tc>
          <w:tcPr>
            <w:tcW w:type="dxa" w:w="1440"/>
            <w:vAlign w:val="center"/>
            <w:shd w:fill="D8EEFC"/>
          </w:tcPr>
          <w:p>
            <w:r>
              <w:t>达标要求</w:t>
            </w:r>
          </w:p>
        </w:tc>
        <w:tc>
          <w:tcPr>
            <w:tcW w:type="dxa" w:w="1440"/>
            <w:vAlign w:val="center"/>
            <w:shd w:fill="D8EEFC"/>
          </w:tcPr>
          <w:p>
            <w:r>
              <w:t>结果</w:t>
            </w:r>
          </w:p>
        </w:tc>
      </w:tr>
      <w:tr>
        <w:tc>
          <w:tcPr>
            <w:tcW w:type="dxa" w:w="1440"/>
          </w:tcPr>
          <w:p>
            <w:r>
              <w:t>最大纵向冲击度</w:t>
            </w:r>
          </w:p>
        </w:tc>
        <w:tc>
          <w:tcPr>
            <w:tcW w:type="dxa" w:w="1440"/>
          </w:tcPr>
          <w:p>
            <w:r>
              <w:t>全程最大纵向冲击度</w:t>
            </w:r>
          </w:p>
        </w:tc>
        <w:tc>
          <w:tcPr>
            <w:tcW w:type="dxa" w:w="1440"/>
          </w:tcPr>
          <w:p>
            <w:r>
              <w:t>m/s^3</w:t>
            </w:r>
          </w:p>
        </w:tc>
        <w:tc>
          <w:tcPr>
            <w:tcW w:type="dxa" w:w="1440"/>
          </w:tcPr>
          <w:p>
            <w:r>
              <w:t>2.8000</w:t>
            </w:r>
          </w:p>
        </w:tc>
        <w:tc>
          <w:tcPr>
            <w:tcW w:type="dxa" w:w="1440"/>
          </w:tcPr>
          <w:p>
            <w:r>
              <w:t>最大纵向冲击度应控制在舒适性阈值以内。</w:t>
            </w:r>
          </w:p>
        </w:tc>
        <w:tc>
          <w:tcPr>
            <w:tcW w:type="dxa" w:w="1440"/>
            <w:shd w:fill="ECFDF5"/>
          </w:tcPr>
          <w:p>
            <w:r>
              <w:t>达标</w:t>
            </w:r>
          </w:p>
        </w:tc>
      </w:tr>
      <w:tr>
        <w:tc>
          <w:tcPr>
            <w:tcW w:type="dxa" w:w="1440"/>
          </w:tcPr>
          <w:p>
            <w:r>
              <w:t>平均车速</w:t>
            </w:r>
          </w:p>
        </w:tc>
        <w:tc>
          <w:tcPr>
            <w:tcW w:type="dxa" w:w="1440"/>
          </w:tcPr>
          <w:p>
            <w:r>
              <w:t>平均车速</w:t>
            </w:r>
          </w:p>
        </w:tc>
        <w:tc>
          <w:tcPr>
            <w:tcW w:type="dxa" w:w="1440"/>
          </w:tcPr>
          <w:p>
            <w:r>
              <w:t>kph</w:t>
            </w:r>
          </w:p>
        </w:tc>
        <w:tc>
          <w:tcPr>
            <w:tcW w:type="dxa" w:w="1440"/>
          </w:tcPr>
          <w:p>
            <w:r>
              <w:t>8.0160</w:t>
            </w:r>
          </w:p>
        </w:tc>
        <w:tc>
          <w:tcPr>
            <w:tcW w:type="dxa" w:w="1440"/>
          </w:tcPr>
          <w:p>
            <w:r>
              <w:t>该项为试验背景信息，不单独设置达标阈值。</w:t>
            </w:r>
          </w:p>
        </w:tc>
        <w:tc>
          <w:tcPr>
            <w:tcW w:type="dxa" w:w="1440"/>
            <w:shd w:fill="ECFDF5"/>
          </w:tcPr>
          <w:p>
            <w:r>
              <w:t>达标</w:t>
            </w:r>
          </w:p>
        </w:tc>
      </w:tr>
      <w:tr>
        <w:tc>
          <w:tcPr>
            <w:tcW w:type="dxa" w:w="1440"/>
          </w:tcPr>
          <w:p>
            <w:r>
              <w:t>峰值打滑率</w:t>
            </w:r>
          </w:p>
        </w:tc>
        <w:tc>
          <w:tcPr>
            <w:tcW w:type="dxa" w:w="1440"/>
          </w:tcPr>
          <w:p>
            <w:r>
              <w:t>全程最大驱动轮打滑率</w:t>
            </w:r>
          </w:p>
        </w:tc>
        <w:tc>
          <w:tcPr>
            <w:tcW w:type="dxa" w:w="1440"/>
          </w:tcPr>
          <w:p>
            <w:r>
              <w:t>ratio</w:t>
            </w:r>
          </w:p>
        </w:tc>
        <w:tc>
          <w:tcPr>
            <w:tcW w:type="dxa" w:w="1440"/>
          </w:tcPr>
          <w:p>
            <w:r>
              <w:t>1.7727</w:t>
            </w:r>
          </w:p>
        </w:tc>
        <w:tc>
          <w:tcPr>
            <w:tcW w:type="dxa" w:w="1440"/>
          </w:tcPr>
          <w:p>
            <w:r>
              <w:t>峰值打滑率应不大于标定阈值，避免打滑控制能力不足。</w:t>
            </w:r>
          </w:p>
        </w:tc>
        <w:tc>
          <w:tcPr>
            <w:tcW w:type="dxa" w:w="1440"/>
            <w:shd w:fill="FFF1F2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TCS 激活总时长</w:t>
            </w:r>
          </w:p>
        </w:tc>
        <w:tc>
          <w:tcPr>
            <w:tcW w:type="dxa" w:w="1440"/>
          </w:tcPr>
          <w:p>
            <w:r>
              <w:t>TCS 激活总时长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0.7500</w:t>
            </w:r>
          </w:p>
        </w:tc>
        <w:tc>
          <w:tcPr>
            <w:tcW w:type="dxa" w:w="1440"/>
          </w:tcPr>
          <w:p>
            <w:r>
              <w:t>该项用于观察控制介入总时长，不单独设置通过门限。</w:t>
            </w:r>
          </w:p>
        </w:tc>
        <w:tc>
          <w:tcPr>
            <w:tcW w:type="dxa" w:w="1440"/>
            <w:shd w:fill="ECFDF5"/>
          </w:tcPr>
          <w:p>
            <w:r>
              <w:t>达标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