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Licensing Agreement — Contract #C-1142</w:t>
      </w:r>
    </w:p>
    <w:p>
      <w:r>
        <w:t>This Licensing Agreement is entered into on June 15, 2025, between Sun World Fruits and TerraFarms.</w:t>
      </w:r>
    </w:p>
    <w:p>
      <w:r>
        <w:t>Scope: Sun World grants TerraFarms the exclusive right to grow and sell the ADORA SEEDLESS grape variety within the state of Florida for a term of 5 years.</w:t>
      </w:r>
    </w:p>
    <w:p>
      <w:r>
        <w:t>Royalties: A royalty of 3.9% of net sales is due quarterly.</w:t>
      </w:r>
    </w:p>
    <w:p>
      <w:r>
        <w:t>Compliance: Partner agrees to maintain GAP certification and comply with IP protection clauses outlined in Schedule B.</w:t>
      </w:r>
    </w:p>
    <w:p>
      <w:r>
        <w:br/>
        <w:t>Signed:</w:t>
      </w:r>
    </w:p>
    <w:p>
      <w:r>
        <w:t>- Sun World Fruits: Jennifer Langston, VP of Licensing</w:t>
      </w:r>
    </w:p>
    <w:p>
      <w:r>
        <w:t>- TerraFarms: John Smith, Managing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