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975E" w14:textId="77777777" w:rsidR="00833858" w:rsidRPr="00833858" w:rsidRDefault="00833858" w:rsidP="00233324">
      <w:pPr>
        <w:pStyle w:val="Heading1"/>
      </w:pPr>
      <w:r w:rsidRPr="00833858">
        <w:t>1. Core Objective and Framing</w:t>
      </w:r>
    </w:p>
    <w:p w14:paraId="25AE546B" w14:textId="1ACF0E34" w:rsidR="00833858" w:rsidRPr="00833858" w:rsidRDefault="00833858" w:rsidP="0083385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833858">
        <w:rPr>
          <w:b/>
          <w:bCs/>
        </w:rPr>
        <w:t>What the paper claims/does</w:t>
      </w:r>
    </w:p>
    <w:p w14:paraId="2BE95720" w14:textId="77777777" w:rsidR="00833858" w:rsidRPr="00833858" w:rsidRDefault="00833858" w:rsidP="00833858">
      <w:pPr>
        <w:numPr>
          <w:ilvl w:val="0"/>
          <w:numId w:val="10"/>
        </w:numPr>
      </w:pPr>
      <w:r w:rsidRPr="00833858">
        <w:t xml:space="preserve">The paper studies </w:t>
      </w:r>
      <w:r w:rsidRPr="00833858">
        <w:rPr>
          <w:b/>
          <w:bCs/>
        </w:rPr>
        <w:t>“the statistical nature of the persistency of current account balances and its determinants”</w:t>
      </w:r>
      <w:r w:rsidRPr="00833858">
        <w:t xml:space="preserve"> for 70 countries, with implications for global rebalancing. </w:t>
      </w:r>
    </w:p>
    <w:p w14:paraId="377E8684" w14:textId="3E184AF3" w:rsidR="00833858" w:rsidRPr="00833858" w:rsidRDefault="00833858" w:rsidP="00833858">
      <w:pPr>
        <w:numPr>
          <w:ilvl w:val="0"/>
          <w:numId w:val="10"/>
        </w:numPr>
      </w:pPr>
      <w:r w:rsidRPr="00833858">
        <w:t xml:space="preserve">It assumes that a </w:t>
      </w:r>
      <w:r w:rsidRPr="00833858">
        <w:rPr>
          <w:b/>
          <w:bCs/>
        </w:rPr>
        <w:t xml:space="preserve">stationary current account series ensures the long-run budget </w:t>
      </w:r>
      <w:r w:rsidRPr="00833858">
        <w:rPr>
          <w:b/>
          <w:bCs/>
        </w:rPr>
        <w:t>constraint</w:t>
      </w:r>
      <w:r w:rsidRPr="00833858">
        <w:t xml:space="preserve"> but</w:t>
      </w:r>
      <w:r w:rsidRPr="00833858">
        <w:t xml:space="preserve"> allows that countries may experience </w:t>
      </w:r>
      <w:r w:rsidRPr="00833858">
        <w:rPr>
          <w:b/>
          <w:bCs/>
        </w:rPr>
        <w:t xml:space="preserve">“local non-stationarity” </w:t>
      </w:r>
      <w:r w:rsidRPr="00833858">
        <w:t xml:space="preserve">(MS regimes) along the way. </w:t>
      </w:r>
    </w:p>
    <w:p w14:paraId="41456688" w14:textId="77777777" w:rsidR="00833858" w:rsidRPr="00833858" w:rsidRDefault="00833858" w:rsidP="00833858">
      <w:pPr>
        <w:numPr>
          <w:ilvl w:val="0"/>
          <w:numId w:val="10"/>
        </w:numPr>
        <w:rPr>
          <w:b/>
          <w:bCs/>
        </w:rPr>
      </w:pPr>
      <w:r w:rsidRPr="00833858">
        <w:t xml:space="preserve">It uses a </w:t>
      </w:r>
      <w:r w:rsidRPr="00833858">
        <w:rPr>
          <w:b/>
          <w:bCs/>
        </w:rPr>
        <w:t>Markov-switching ADF framework</w:t>
      </w:r>
      <w:r w:rsidRPr="00833858">
        <w:t xml:space="preserve"> to identify stationary vs </w:t>
      </w:r>
      <w:proofErr w:type="gramStart"/>
      <w:r w:rsidRPr="00833858">
        <w:t>locally</w:t>
      </w:r>
      <w:proofErr w:type="gramEnd"/>
      <w:r w:rsidRPr="00833858">
        <w:t xml:space="preserve"> non-stationary regimes and dates of structural shifts, then studies the </w:t>
      </w:r>
      <w:r w:rsidRPr="00833858">
        <w:rPr>
          <w:b/>
          <w:bCs/>
        </w:rPr>
        <w:t>determinants of both:</w:t>
      </w:r>
    </w:p>
    <w:p w14:paraId="7CC3CFE3" w14:textId="767D511A" w:rsidR="00833858" w:rsidRPr="00833858" w:rsidRDefault="00833858" w:rsidP="00833858">
      <w:pPr>
        <w:numPr>
          <w:ilvl w:val="1"/>
          <w:numId w:val="10"/>
        </w:numPr>
      </w:pPr>
      <w:r w:rsidRPr="00833858">
        <w:t xml:space="preserve">Probit on the probability of entering a non-stationary (“random walk”) regime. </w:t>
      </w:r>
    </w:p>
    <w:p w14:paraId="6E4936EF" w14:textId="409D47C9" w:rsidR="00833858" w:rsidRPr="00833858" w:rsidRDefault="00833858" w:rsidP="00833858">
      <w:pPr>
        <w:numPr>
          <w:ilvl w:val="1"/>
          <w:numId w:val="10"/>
        </w:numPr>
      </w:pPr>
      <w:r w:rsidRPr="00833858">
        <w:t xml:space="preserve">OLS on the persistence (AR coefficient) within stationary </w:t>
      </w:r>
    </w:p>
    <w:p w14:paraId="09CD68BC" w14:textId="77777777" w:rsidR="00833858" w:rsidRPr="00833858" w:rsidRDefault="00833858" w:rsidP="00833858">
      <w:pPr>
        <w:numPr>
          <w:ilvl w:val="0"/>
          <w:numId w:val="10"/>
        </w:numPr>
      </w:pPr>
      <w:r w:rsidRPr="00833858">
        <w:t>Key empirical findings (as summarized in the abstract and Section 4):</w:t>
      </w:r>
    </w:p>
    <w:p w14:paraId="2837BC28" w14:textId="77777777" w:rsidR="00833858" w:rsidRPr="00833858" w:rsidRDefault="00833858" w:rsidP="00833858">
      <w:pPr>
        <w:numPr>
          <w:ilvl w:val="1"/>
          <w:numId w:val="10"/>
        </w:numPr>
      </w:pPr>
      <w:r w:rsidRPr="00833858">
        <w:rPr>
          <w:b/>
          <w:bCs/>
        </w:rPr>
        <w:t xml:space="preserve">Fixed exchange rate regimes </w:t>
      </w:r>
      <w:r w:rsidRPr="00833858">
        <w:t xml:space="preserve">and </w:t>
      </w:r>
      <w:r w:rsidRPr="00833858">
        <w:rPr>
          <w:b/>
          <w:bCs/>
        </w:rPr>
        <w:t>greater financial openness</w:t>
      </w:r>
      <w:r w:rsidRPr="00833858">
        <w:t xml:space="preserve"> for emerging markets increase the probability of entering a random-walk (non-stationary) regime. </w:t>
      </w:r>
    </w:p>
    <w:p w14:paraId="2B9D69B2" w14:textId="77777777" w:rsidR="00833858" w:rsidRPr="00833858" w:rsidRDefault="00833858" w:rsidP="00833858">
      <w:pPr>
        <w:numPr>
          <w:ilvl w:val="1"/>
          <w:numId w:val="10"/>
        </w:numPr>
      </w:pPr>
      <w:r w:rsidRPr="00833858">
        <w:rPr>
          <w:b/>
          <w:bCs/>
        </w:rPr>
        <w:t>Trade openness</w:t>
      </w:r>
      <w:r w:rsidRPr="00833858">
        <w:t xml:space="preserve"> reduces the likelihood of entering the non-stationary regime and reduces persistence. </w:t>
      </w:r>
    </w:p>
    <w:p w14:paraId="0CC9C4CD" w14:textId="77777777" w:rsidR="00833858" w:rsidRPr="00833858" w:rsidRDefault="00833858" w:rsidP="00833858">
      <w:pPr>
        <w:numPr>
          <w:ilvl w:val="1"/>
          <w:numId w:val="10"/>
        </w:numPr>
      </w:pPr>
      <w:r w:rsidRPr="00833858">
        <w:rPr>
          <w:b/>
          <w:bCs/>
        </w:rPr>
        <w:t>Budget deficits</w:t>
      </w:r>
      <w:r w:rsidRPr="00833858">
        <w:t xml:space="preserve"> and </w:t>
      </w:r>
      <w:r w:rsidRPr="00833858">
        <w:rPr>
          <w:b/>
          <w:bCs/>
        </w:rPr>
        <w:t>current account deficit regimes</w:t>
      </w:r>
      <w:r w:rsidRPr="00833858">
        <w:t xml:space="preserve"> are associated with staying in stationary regimes (interpreted as markets forcing rebalancing). </w:t>
      </w:r>
    </w:p>
    <w:p w14:paraId="1188D1D3" w14:textId="77777777" w:rsidR="00833858" w:rsidRPr="00833858" w:rsidRDefault="00833858" w:rsidP="00833858">
      <w:pPr>
        <w:numPr>
          <w:ilvl w:val="1"/>
          <w:numId w:val="10"/>
        </w:numPr>
      </w:pPr>
      <w:r w:rsidRPr="00833858">
        <w:t xml:space="preserve">When looking at persistence within stationary regimes, </w:t>
      </w:r>
      <w:r w:rsidRPr="00833858">
        <w:rPr>
          <w:b/>
          <w:bCs/>
        </w:rPr>
        <w:t>exchange rate regime dummies no longer matter</w:t>
      </w:r>
      <w:r w:rsidRPr="00833858">
        <w:t xml:space="preserve">, but openness and RER misalignment do. </w:t>
      </w:r>
    </w:p>
    <w:p w14:paraId="2E52C5A5" w14:textId="77777777" w:rsidR="00833858" w:rsidRPr="00833858" w:rsidRDefault="00833858" w:rsidP="00833858">
      <w:pPr>
        <w:rPr>
          <w:b/>
          <w:bCs/>
        </w:rPr>
      </w:pPr>
      <w:r w:rsidRPr="00833858">
        <w:rPr>
          <w:b/>
          <w:bCs/>
        </w:rPr>
        <w:t>What referees say</w:t>
      </w:r>
    </w:p>
    <w:p w14:paraId="38750AC8" w14:textId="77777777" w:rsidR="00833858" w:rsidRPr="00833858" w:rsidRDefault="00833858" w:rsidP="00833858">
      <w:pPr>
        <w:numPr>
          <w:ilvl w:val="0"/>
          <w:numId w:val="11"/>
        </w:numPr>
      </w:pPr>
      <w:r w:rsidRPr="00833858">
        <w:rPr>
          <w:b/>
          <w:bCs/>
        </w:rPr>
        <w:t>They broadly accept the descriptive goal</w:t>
      </w:r>
      <w:r w:rsidRPr="00833858">
        <w:t xml:space="preserve"> (characterizing persistence and breaks) and find the empirical patterns “interesting.” </w:t>
      </w:r>
    </w:p>
    <w:p w14:paraId="537DDF3E" w14:textId="77777777" w:rsidR="00833858" w:rsidRDefault="00833858" w:rsidP="00833858">
      <w:pPr>
        <w:numPr>
          <w:ilvl w:val="0"/>
          <w:numId w:val="11"/>
        </w:numPr>
      </w:pPr>
      <w:r w:rsidRPr="00833858">
        <w:t xml:space="preserve">But they question whether the paper’s </w:t>
      </w:r>
      <w:r w:rsidRPr="00833858">
        <w:rPr>
          <w:b/>
          <w:bCs/>
        </w:rPr>
        <w:t>framing around sustainability and global rebalancing</w:t>
      </w:r>
      <w:r w:rsidRPr="00833858">
        <w:t xml:space="preserve"> is justified by </w:t>
      </w:r>
      <w:proofErr w:type="gramStart"/>
      <w:r w:rsidRPr="00833858">
        <w:t>the econometrics</w:t>
      </w:r>
      <w:proofErr w:type="gramEnd"/>
      <w:r w:rsidRPr="00833858">
        <w:t>.</w:t>
      </w:r>
    </w:p>
    <w:p w14:paraId="173461F4" w14:textId="4E3BA677" w:rsidR="004122DA" w:rsidRDefault="004122DA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0C0F0A">
        <w:pict w14:anchorId="15754097">
          <v:rect id="_x0000_i1052" style="width:0;height:1.5pt" o:hralign="center" o:hrstd="t" o:hr="t" fillcolor="#a0a0a0" stroked="f"/>
        </w:pict>
      </w:r>
      <w:r>
        <w:rPr>
          <w:rFonts w:asciiTheme="majorHAnsi" w:eastAsiaTheme="majorEastAsia" w:hAnsiTheme="majorHAnsi" w:cstheme="majorBidi"/>
          <w:b/>
          <w:bCs/>
          <w:sz w:val="28"/>
          <w:szCs w:val="28"/>
        </w:rPr>
        <w:br w:type="page"/>
      </w:r>
    </w:p>
    <w:p w14:paraId="07A6D90A" w14:textId="04ADB639" w:rsidR="00B703BE" w:rsidRDefault="00833858" w:rsidP="00233324">
      <w:pPr>
        <w:pStyle w:val="Heading1"/>
      </w:pPr>
      <w:r>
        <w:lastRenderedPageBreak/>
        <w:t>2</w:t>
      </w:r>
      <w:r w:rsidRPr="00833858">
        <w:t>. Stationarity, Persistence, and Sustainability / LRBC</w:t>
      </w:r>
    </w:p>
    <w:p w14:paraId="3D3E9DB9" w14:textId="77777777" w:rsidR="00833858" w:rsidRPr="00833858" w:rsidRDefault="00833858" w:rsidP="00833858">
      <w:pPr>
        <w:rPr>
          <w:b/>
          <w:bCs/>
        </w:rPr>
      </w:pPr>
      <w:r w:rsidRPr="00833858">
        <w:rPr>
          <w:b/>
          <w:bCs/>
        </w:rPr>
        <w:t>Paper’s stance</w:t>
      </w:r>
    </w:p>
    <w:p w14:paraId="2635960E" w14:textId="77777777" w:rsidR="00833858" w:rsidRPr="00833858" w:rsidRDefault="00833858" w:rsidP="00833858">
      <w:pPr>
        <w:numPr>
          <w:ilvl w:val="0"/>
          <w:numId w:val="12"/>
        </w:numPr>
      </w:pPr>
      <w:r w:rsidRPr="00833858">
        <w:t xml:space="preserve">The abstract and introduction tie </w:t>
      </w:r>
      <w:r w:rsidRPr="00833858">
        <w:rPr>
          <w:b/>
          <w:bCs/>
        </w:rPr>
        <w:t>stationarity of the current account</w:t>
      </w:r>
      <w:r w:rsidRPr="00833858">
        <w:t xml:space="preserve"> to </w:t>
      </w:r>
      <w:r w:rsidRPr="00833858">
        <w:rPr>
          <w:b/>
          <w:bCs/>
        </w:rPr>
        <w:t xml:space="preserve">satisfaction of the long-run intertemporal budget </w:t>
      </w:r>
      <w:proofErr w:type="gramStart"/>
      <w:r w:rsidRPr="00833858">
        <w:rPr>
          <w:b/>
          <w:bCs/>
        </w:rPr>
        <w:t>constraint</w:t>
      </w:r>
      <w:r w:rsidRPr="00833858">
        <w:t>, and</w:t>
      </w:r>
      <w:proofErr w:type="gramEnd"/>
      <w:r w:rsidRPr="00833858">
        <w:t xml:space="preserve"> discuss non-stationarity (particularly for deficit countries) as a potential </w:t>
      </w:r>
      <w:r w:rsidRPr="00833858">
        <w:rPr>
          <w:b/>
          <w:bCs/>
        </w:rPr>
        <w:t>“red signal”</w:t>
      </w:r>
      <w:r w:rsidRPr="00833858">
        <w:t xml:space="preserve"> for LRBC violations or unsustainable imbalances. </w:t>
      </w:r>
    </w:p>
    <w:p w14:paraId="79211AD8" w14:textId="77777777" w:rsidR="00833858" w:rsidRPr="00833858" w:rsidRDefault="00833858" w:rsidP="00833858">
      <w:pPr>
        <w:rPr>
          <w:b/>
          <w:bCs/>
        </w:rPr>
      </w:pPr>
      <w:r w:rsidRPr="00833858">
        <w:rPr>
          <w:b/>
          <w:bCs/>
        </w:rPr>
        <w:t>Referee reaction</w:t>
      </w:r>
    </w:p>
    <w:p w14:paraId="060FBD7E" w14:textId="77777777" w:rsidR="00833858" w:rsidRPr="00833858" w:rsidRDefault="00833858" w:rsidP="00957FE2">
      <w:pPr>
        <w:numPr>
          <w:ilvl w:val="0"/>
          <w:numId w:val="13"/>
        </w:numPr>
        <w:spacing w:after="0"/>
      </w:pPr>
      <w:r w:rsidRPr="00833858">
        <w:rPr>
          <w:b/>
          <w:bCs/>
        </w:rPr>
        <w:t>JIE Reviewer 1 and 2, and JIMF Reviewer 2</w:t>
      </w:r>
      <w:r w:rsidRPr="00833858">
        <w:t xml:space="preserve"> all emphasize that:</w:t>
      </w:r>
    </w:p>
    <w:p w14:paraId="24E54957" w14:textId="77777777" w:rsidR="00833858" w:rsidRPr="00833858" w:rsidRDefault="00833858" w:rsidP="00957FE2">
      <w:pPr>
        <w:numPr>
          <w:ilvl w:val="1"/>
          <w:numId w:val="13"/>
        </w:numPr>
        <w:spacing w:after="0"/>
      </w:pPr>
      <w:r w:rsidRPr="00833858">
        <w:rPr>
          <w:b/>
          <w:bCs/>
        </w:rPr>
        <w:t xml:space="preserve">Stationarity is sufficient but </w:t>
      </w:r>
      <w:r w:rsidRPr="00833858">
        <w:rPr>
          <w:b/>
          <w:bCs/>
          <w:i/>
          <w:iCs/>
        </w:rPr>
        <w:t>not necessary</w:t>
      </w:r>
      <w:r w:rsidRPr="00833858">
        <w:t xml:space="preserve"> for the LRBC or sustainability. They explicitly reference Bohn-type results: </w:t>
      </w:r>
      <w:proofErr w:type="gramStart"/>
      <w:r w:rsidRPr="00833858">
        <w:t>as long as</w:t>
      </w:r>
      <w:proofErr w:type="gramEnd"/>
      <w:r w:rsidRPr="00833858">
        <w:t xml:space="preserve"> a relevant debt variable is stationary after finite differencing, the LRBC can be satisfied even if the CA itself is non-stationary. </w:t>
      </w:r>
    </w:p>
    <w:p w14:paraId="5E27D0DC" w14:textId="77777777" w:rsidR="00833858" w:rsidRPr="00833858" w:rsidRDefault="00833858" w:rsidP="00957FE2">
      <w:pPr>
        <w:numPr>
          <w:ilvl w:val="1"/>
          <w:numId w:val="13"/>
        </w:numPr>
        <w:spacing w:after="0"/>
      </w:pPr>
      <w:r w:rsidRPr="00833858">
        <w:t xml:space="preserve">Reviewer 1 gives a formal example where the current account is non-stationary but the LRBC </w:t>
      </w:r>
      <w:proofErr w:type="gramStart"/>
      <w:r w:rsidRPr="00833858">
        <w:t>holds, and</w:t>
      </w:r>
      <w:proofErr w:type="gramEnd"/>
      <w:r w:rsidRPr="00833858">
        <w:t xml:space="preserve"> recommends </w:t>
      </w:r>
      <w:r w:rsidRPr="00833858">
        <w:rPr>
          <w:b/>
          <w:bCs/>
        </w:rPr>
        <w:t>downplaying the interpretation of CA non-stationarity as evidence of unsustainability.</w:t>
      </w:r>
      <w:r w:rsidRPr="00833858">
        <w:t xml:space="preserve"> </w:t>
      </w:r>
    </w:p>
    <w:p w14:paraId="49EC4468" w14:textId="77777777" w:rsidR="00833858" w:rsidRPr="00833858" w:rsidRDefault="00833858" w:rsidP="00957FE2">
      <w:pPr>
        <w:numPr>
          <w:ilvl w:val="0"/>
          <w:numId w:val="13"/>
        </w:numPr>
        <w:spacing w:after="0"/>
      </w:pPr>
      <w:r w:rsidRPr="00833858">
        <w:rPr>
          <w:b/>
          <w:bCs/>
        </w:rPr>
        <w:t>JIMF Reviewer 2</w:t>
      </w:r>
      <w:r w:rsidRPr="00833858">
        <w:t xml:space="preserve"> is particularly clear:</w:t>
      </w:r>
    </w:p>
    <w:p w14:paraId="0809335C" w14:textId="77777777" w:rsidR="00833858" w:rsidRPr="00833858" w:rsidRDefault="00833858" w:rsidP="00957FE2">
      <w:pPr>
        <w:numPr>
          <w:ilvl w:val="1"/>
          <w:numId w:val="13"/>
        </w:numPr>
        <w:spacing w:after="0"/>
      </w:pPr>
      <w:r w:rsidRPr="00833858">
        <w:t xml:space="preserve">Historical stationarity of the CA does </w:t>
      </w:r>
      <w:r w:rsidRPr="00833858">
        <w:rPr>
          <w:b/>
          <w:bCs/>
        </w:rPr>
        <w:t>not tell us sustainability “at present or at any particular point in the past.”</w:t>
      </w:r>
    </w:p>
    <w:p w14:paraId="64040146" w14:textId="77777777" w:rsidR="00833858" w:rsidRPr="00833858" w:rsidRDefault="00833858" w:rsidP="00957FE2">
      <w:pPr>
        <w:numPr>
          <w:ilvl w:val="1"/>
          <w:numId w:val="13"/>
        </w:numPr>
        <w:spacing w:after="0"/>
      </w:pPr>
      <w:r w:rsidRPr="00833858">
        <w:t xml:space="preserve">The data </w:t>
      </w:r>
      <w:proofErr w:type="gramStart"/>
      <w:r w:rsidRPr="00833858">
        <w:t>do</w:t>
      </w:r>
      <w:proofErr w:type="gramEnd"/>
      <w:r w:rsidRPr="00833858">
        <w:t xml:space="preserve"> not explicitly account for crises or defaults, so stationarity/non-stationarity of the series is at best </w:t>
      </w:r>
      <w:r w:rsidRPr="00833858">
        <w:rPr>
          <w:b/>
          <w:bCs/>
        </w:rPr>
        <w:t>loosely linked</w:t>
      </w:r>
      <w:r w:rsidRPr="00833858">
        <w:t xml:space="preserve"> to sustainability.</w:t>
      </w:r>
    </w:p>
    <w:p w14:paraId="78CFE010" w14:textId="11B193AE" w:rsidR="00833858" w:rsidRDefault="00C4133F" w:rsidP="00833858">
      <w:r w:rsidRPr="00C4133F">
        <w:rPr>
          <w:b/>
          <w:bCs/>
        </w:rPr>
        <w:t>Bottom line:</w:t>
      </w:r>
      <w:r w:rsidRPr="00C4133F">
        <w:br/>
        <w:t xml:space="preserve">The paper uses stationarity and persistence as empirical proxies for sustainability and rebalancing pressure; referees accept that there is some connection but think </w:t>
      </w:r>
      <w:r w:rsidRPr="00C4133F">
        <w:rPr>
          <w:b/>
          <w:bCs/>
        </w:rPr>
        <w:t>the equivalence is overstated</w:t>
      </w:r>
      <w:r w:rsidRPr="00C4133F">
        <w:t xml:space="preserve"> and needs theoretical clarification and downscaling.</w:t>
      </w:r>
    </w:p>
    <w:p w14:paraId="33F45FD5" w14:textId="7DCDCA51" w:rsidR="00C4133F" w:rsidRDefault="004122DA" w:rsidP="00C4133F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0C0F0A">
        <w:pict w14:anchorId="7313B978">
          <v:rect id="_x0000_i1051" style="width:0;height:1.5pt" o:hralign="center" o:hrstd="t" o:hr="t" fillcolor="#a0a0a0" stroked="f"/>
        </w:pict>
      </w:r>
      <w:r w:rsidR="00C4133F" w:rsidRPr="00233324">
        <w:rPr>
          <w:rStyle w:val="Heading1Char"/>
        </w:rPr>
        <w:t>3</w:t>
      </w:r>
      <w:r w:rsidR="00C4133F" w:rsidRPr="00233324">
        <w:rPr>
          <w:rStyle w:val="Heading1Char"/>
        </w:rPr>
        <w:t>. Markov-Switching ADF and Identification of Regimes</w:t>
      </w:r>
    </w:p>
    <w:p w14:paraId="6266FA90" w14:textId="77777777" w:rsidR="00C4133F" w:rsidRPr="00C4133F" w:rsidRDefault="00C4133F" w:rsidP="00957FE2">
      <w:pPr>
        <w:spacing w:after="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C4133F">
        <w:rPr>
          <w:rFonts w:asciiTheme="majorHAnsi" w:eastAsiaTheme="majorEastAsia" w:hAnsiTheme="majorHAnsi" w:cstheme="majorBidi"/>
          <w:b/>
          <w:bCs/>
          <w:sz w:val="28"/>
          <w:szCs w:val="28"/>
        </w:rPr>
        <w:t>Paper’s methodology and claims</w:t>
      </w:r>
    </w:p>
    <w:p w14:paraId="23A7500A" w14:textId="77777777" w:rsidR="00C4133F" w:rsidRPr="00C4133F" w:rsidRDefault="00C4133F" w:rsidP="00957FE2">
      <w:pPr>
        <w:numPr>
          <w:ilvl w:val="0"/>
          <w:numId w:val="14"/>
        </w:numPr>
        <w:spacing w:after="0"/>
      </w:pPr>
      <w:r w:rsidRPr="00C4133F">
        <w:t xml:space="preserve">Section 3.2 uses a </w:t>
      </w:r>
      <w:r w:rsidRPr="00C4133F">
        <w:rPr>
          <w:b/>
          <w:bCs/>
        </w:rPr>
        <w:t>Markov-Switching ADF test</w:t>
      </w:r>
      <w:r w:rsidRPr="00C4133F">
        <w:t xml:space="preserve"> (</w:t>
      </w:r>
      <w:proofErr w:type="spellStart"/>
      <w:r w:rsidRPr="00C4133F">
        <w:t>Raybaudi</w:t>
      </w:r>
      <w:proofErr w:type="spellEnd"/>
      <w:r w:rsidRPr="00C4133F">
        <w:t xml:space="preserve"> et al.; Chen) to distinguish between:</w:t>
      </w:r>
    </w:p>
    <w:p w14:paraId="64B64E6C" w14:textId="77777777" w:rsidR="00C4133F" w:rsidRPr="00C4133F" w:rsidRDefault="00C4133F" w:rsidP="00C4133F">
      <w:pPr>
        <w:numPr>
          <w:ilvl w:val="1"/>
          <w:numId w:val="14"/>
        </w:numPr>
        <w:spacing w:after="0"/>
      </w:pPr>
      <w:r w:rsidRPr="00C4133F">
        <w:t>A random walk regime (state 0)</w:t>
      </w:r>
    </w:p>
    <w:p w14:paraId="40EB6751" w14:textId="77777777" w:rsidR="00C4133F" w:rsidRPr="00C4133F" w:rsidRDefault="00C4133F" w:rsidP="00C4133F">
      <w:pPr>
        <w:numPr>
          <w:ilvl w:val="1"/>
          <w:numId w:val="14"/>
        </w:numPr>
        <w:spacing w:after="0"/>
      </w:pPr>
      <w:r w:rsidRPr="00C4133F">
        <w:t xml:space="preserve">A mean-reverting </w:t>
      </w:r>
      <w:proofErr w:type="gramStart"/>
      <w:r w:rsidRPr="00C4133F">
        <w:t>AR(</w:t>
      </w:r>
      <w:proofErr w:type="gramEnd"/>
      <w:r w:rsidRPr="00C4133F">
        <w:t>1) regime (state 1)</w:t>
      </w:r>
      <w:r w:rsidRPr="00C4133F">
        <w:br/>
        <w:t xml:space="preserve">with regime-dependent constant and AR coefficient. </w:t>
      </w:r>
    </w:p>
    <w:p w14:paraId="4441B9C4" w14:textId="77777777" w:rsidR="00C4133F" w:rsidRPr="00C4133F" w:rsidRDefault="00C4133F" w:rsidP="00957FE2">
      <w:pPr>
        <w:numPr>
          <w:ilvl w:val="0"/>
          <w:numId w:val="14"/>
        </w:numPr>
        <w:spacing w:after="0"/>
      </w:pPr>
      <w:r w:rsidRPr="00C4133F">
        <w:t>The aim is to:</w:t>
      </w:r>
    </w:p>
    <w:p w14:paraId="628B007B" w14:textId="77777777" w:rsidR="00C4133F" w:rsidRPr="00957FE2" w:rsidRDefault="00C4133F" w:rsidP="00957FE2">
      <w:pPr>
        <w:numPr>
          <w:ilvl w:val="0"/>
          <w:numId w:val="20"/>
        </w:numPr>
        <w:spacing w:after="0"/>
      </w:pPr>
      <w:r w:rsidRPr="00C4133F">
        <w:t>Improve rejection rates of unit roots compared to linear tests.</w:t>
      </w:r>
    </w:p>
    <w:p w14:paraId="5EEFAD4D" w14:textId="4226B8C4" w:rsidR="00C4133F" w:rsidRPr="00C4133F" w:rsidRDefault="00C4133F" w:rsidP="00957FE2">
      <w:pPr>
        <w:numPr>
          <w:ilvl w:val="0"/>
          <w:numId w:val="20"/>
        </w:numPr>
        <w:spacing w:after="0"/>
      </w:pPr>
      <w:r w:rsidRPr="00C4133F">
        <w:t xml:space="preserve">Identify </w:t>
      </w:r>
      <w:r w:rsidRPr="00C4133F">
        <w:rPr>
          <w:b/>
          <w:bCs/>
        </w:rPr>
        <w:t>locally non-stationary episodes</w:t>
      </w:r>
      <w:r w:rsidRPr="00C4133F">
        <w:t xml:space="preserve"> (random-walk regimes) and </w:t>
      </w:r>
      <w:r w:rsidRPr="00C4133F">
        <w:rPr>
          <w:b/>
          <w:bCs/>
        </w:rPr>
        <w:t>global stationarity conditions</w:t>
      </w:r>
      <w:r w:rsidRPr="00C4133F">
        <w:t xml:space="preserve"> (via second-order conditions). </w:t>
      </w:r>
    </w:p>
    <w:p w14:paraId="24D22482" w14:textId="77777777" w:rsidR="00C4133F" w:rsidRPr="00C4133F" w:rsidRDefault="00C4133F" w:rsidP="00957FE2">
      <w:pPr>
        <w:numPr>
          <w:ilvl w:val="0"/>
          <w:numId w:val="14"/>
        </w:numPr>
        <w:spacing w:after="0"/>
      </w:pPr>
      <w:r w:rsidRPr="00C4133F">
        <w:t>Regime classifications and episode dates are then used for:</w:t>
      </w:r>
    </w:p>
    <w:p w14:paraId="2CCF5523" w14:textId="77777777" w:rsidR="00C4133F" w:rsidRPr="00C4133F" w:rsidRDefault="00C4133F" w:rsidP="00957FE2">
      <w:pPr>
        <w:numPr>
          <w:ilvl w:val="1"/>
          <w:numId w:val="14"/>
        </w:numPr>
        <w:spacing w:after="0"/>
      </w:pPr>
      <w:r w:rsidRPr="00C4133F">
        <w:t xml:space="preserve">Table of non-stationary episodes (e.g., China 2008, U.S. long deficit episode). </w:t>
      </w:r>
    </w:p>
    <w:p w14:paraId="48C4914E" w14:textId="77777777" w:rsidR="00C4133F" w:rsidRDefault="00C4133F" w:rsidP="00957FE2">
      <w:pPr>
        <w:numPr>
          <w:ilvl w:val="1"/>
          <w:numId w:val="14"/>
        </w:numPr>
        <w:spacing w:after="0"/>
      </w:pPr>
      <w:r w:rsidRPr="00C4133F">
        <w:lastRenderedPageBreak/>
        <w:t xml:space="preserve">Construction of the dependent variables for the probit and persistence regressions. </w:t>
      </w:r>
    </w:p>
    <w:p w14:paraId="3A12E4DC" w14:textId="77777777" w:rsidR="00957FE2" w:rsidRPr="00C4133F" w:rsidRDefault="00957FE2" w:rsidP="00957FE2">
      <w:pPr>
        <w:spacing w:after="0"/>
        <w:ind w:left="1440"/>
      </w:pPr>
    </w:p>
    <w:p w14:paraId="086F246D" w14:textId="77777777" w:rsidR="00C4133F" w:rsidRPr="00C4133F" w:rsidRDefault="00C4133F" w:rsidP="00957FE2">
      <w:pPr>
        <w:spacing w:after="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C4133F">
        <w:rPr>
          <w:rFonts w:asciiTheme="majorHAnsi" w:eastAsiaTheme="majorEastAsia" w:hAnsiTheme="majorHAnsi" w:cstheme="majorBidi"/>
          <w:b/>
          <w:bCs/>
          <w:sz w:val="28"/>
          <w:szCs w:val="28"/>
        </w:rPr>
        <w:t>Referee critiques</w:t>
      </w:r>
    </w:p>
    <w:p w14:paraId="2AD530A2" w14:textId="77777777" w:rsidR="00C4133F" w:rsidRPr="00C4133F" w:rsidRDefault="00C4133F" w:rsidP="00957FE2">
      <w:pPr>
        <w:numPr>
          <w:ilvl w:val="0"/>
          <w:numId w:val="14"/>
        </w:numPr>
        <w:spacing w:after="0"/>
        <w:rPr>
          <w:b/>
          <w:bCs/>
        </w:rPr>
      </w:pPr>
      <w:r w:rsidRPr="00C4133F">
        <w:rPr>
          <w:b/>
          <w:bCs/>
        </w:rPr>
        <w:t>“Mechanical” identification concern:</w:t>
      </w:r>
    </w:p>
    <w:p w14:paraId="4FB771D2" w14:textId="77777777" w:rsidR="00C4133F" w:rsidRPr="00C4133F" w:rsidRDefault="00C4133F" w:rsidP="00957FE2">
      <w:pPr>
        <w:numPr>
          <w:ilvl w:val="1"/>
          <w:numId w:val="14"/>
        </w:numPr>
        <w:spacing w:after="0"/>
      </w:pPr>
      <w:r w:rsidRPr="00C4133F">
        <w:t xml:space="preserve">JIE Reviewer 2 calls MS-ADF “a mechanical solution to improve the rejection rates of unit roots,” and questions whether the identified breaks correspond to </w:t>
      </w:r>
      <w:r w:rsidRPr="00C4133F">
        <w:rPr>
          <w:b/>
          <w:bCs/>
        </w:rPr>
        <w:t>economically meaningful shifts</w:t>
      </w:r>
      <w:r w:rsidRPr="00C4133F">
        <w:t xml:space="preserve">. </w:t>
      </w:r>
    </w:p>
    <w:p w14:paraId="628469E4" w14:textId="77777777" w:rsidR="00C4133F" w:rsidRPr="00C4133F" w:rsidRDefault="00C4133F" w:rsidP="00C4133F">
      <w:pPr>
        <w:numPr>
          <w:ilvl w:val="1"/>
          <w:numId w:val="16"/>
        </w:numPr>
      </w:pPr>
      <w:r w:rsidRPr="00C4133F">
        <w:t xml:space="preserve">They ask directly how MS-identified shifts compare to </w:t>
      </w:r>
      <w:r w:rsidRPr="00C4133F">
        <w:rPr>
          <w:b/>
          <w:bCs/>
        </w:rPr>
        <w:t>Chinn &amp; Wei’s regime-based AR shifts</w:t>
      </w:r>
      <w:r w:rsidRPr="00C4133F">
        <w:t xml:space="preserve"> and whether the two line up. </w:t>
      </w:r>
    </w:p>
    <w:p w14:paraId="6C2E0A2C" w14:textId="77777777" w:rsidR="00C4133F" w:rsidRPr="00C4133F" w:rsidRDefault="00C4133F" w:rsidP="00957FE2">
      <w:pPr>
        <w:numPr>
          <w:ilvl w:val="0"/>
          <w:numId w:val="14"/>
        </w:numPr>
        <w:spacing w:after="0"/>
        <w:rPr>
          <w:b/>
          <w:bCs/>
        </w:rPr>
      </w:pPr>
      <w:r w:rsidRPr="00C4133F">
        <w:rPr>
          <w:b/>
          <w:bCs/>
        </w:rPr>
        <w:t>Episode plausibility:</w:t>
      </w:r>
    </w:p>
    <w:p w14:paraId="3D49376A" w14:textId="77777777" w:rsidR="00C4133F" w:rsidRPr="00C4133F" w:rsidRDefault="00C4133F" w:rsidP="00957FE2">
      <w:pPr>
        <w:numPr>
          <w:ilvl w:val="1"/>
          <w:numId w:val="14"/>
        </w:numPr>
        <w:spacing w:after="0"/>
      </w:pPr>
      <w:r w:rsidRPr="00C4133F">
        <w:t xml:space="preserve">JIE Reviewer 2 questions episodes like </w:t>
      </w:r>
      <w:r w:rsidRPr="00C4133F">
        <w:rPr>
          <w:b/>
          <w:bCs/>
        </w:rPr>
        <w:t>China in 2008</w:t>
      </w:r>
      <w:r w:rsidRPr="00C4133F">
        <w:t xml:space="preserve">, noting that the four quarters flagged as locally non-stationary are not obviously special, and thus the classification “raises more questions than provides support.” </w:t>
      </w:r>
    </w:p>
    <w:p w14:paraId="6DF11E58" w14:textId="77777777" w:rsidR="00C4133F" w:rsidRPr="00C4133F" w:rsidRDefault="00C4133F" w:rsidP="00957FE2">
      <w:pPr>
        <w:numPr>
          <w:ilvl w:val="0"/>
          <w:numId w:val="14"/>
        </w:numPr>
        <w:spacing w:after="0"/>
        <w:rPr>
          <w:b/>
          <w:bCs/>
        </w:rPr>
      </w:pPr>
      <w:r w:rsidRPr="00C4133F">
        <w:rPr>
          <w:b/>
          <w:bCs/>
        </w:rPr>
        <w:t>Mapping &amp; sampling issues (JIMF):</w:t>
      </w:r>
    </w:p>
    <w:p w14:paraId="56261AD1" w14:textId="77777777" w:rsidR="00C4133F" w:rsidRPr="00C4133F" w:rsidRDefault="00C4133F" w:rsidP="00957FE2">
      <w:pPr>
        <w:numPr>
          <w:ilvl w:val="1"/>
          <w:numId w:val="16"/>
        </w:numPr>
        <w:spacing w:after="0"/>
      </w:pPr>
      <w:r w:rsidRPr="00C4133F">
        <w:t xml:space="preserve">JIMF referees raise concerns about how the </w:t>
      </w:r>
      <w:r w:rsidRPr="00C4133F">
        <w:rPr>
          <w:b/>
          <w:bCs/>
        </w:rPr>
        <w:t>quarterly MS regimes are mapped to annual data</w:t>
      </w:r>
      <w:r w:rsidRPr="00C4133F">
        <w:t xml:space="preserve"> for the </w:t>
      </w:r>
      <w:proofErr w:type="gramStart"/>
      <w:r w:rsidRPr="00C4133F">
        <w:t>probit, and</w:t>
      </w:r>
      <w:proofErr w:type="gramEnd"/>
      <w:r w:rsidRPr="00C4133F">
        <w:t xml:space="preserve"> suggest considering MS models estimated directly on </w:t>
      </w:r>
      <w:r w:rsidRPr="00C4133F">
        <w:rPr>
          <w:b/>
          <w:bCs/>
        </w:rPr>
        <w:t>annual data</w:t>
      </w:r>
      <w:r w:rsidRPr="00C4133F">
        <w:t xml:space="preserve"> for comparability and robustness. </w:t>
      </w:r>
    </w:p>
    <w:p w14:paraId="21736A2E" w14:textId="35542108" w:rsidR="00957FE2" w:rsidRPr="00C4133F" w:rsidRDefault="00C4133F" w:rsidP="00957FE2">
      <w:pPr>
        <w:numPr>
          <w:ilvl w:val="1"/>
          <w:numId w:val="16"/>
        </w:numPr>
        <w:spacing w:after="0"/>
      </w:pPr>
      <w:r w:rsidRPr="00C4133F">
        <w:t xml:space="preserve">They also worry about </w:t>
      </w:r>
      <w:r w:rsidRPr="00C4133F">
        <w:rPr>
          <w:b/>
          <w:bCs/>
        </w:rPr>
        <w:t xml:space="preserve">outliers </w:t>
      </w:r>
      <w:r w:rsidRPr="00C4133F">
        <w:t>(China, U.S.) and whether regime classification is robust for these.</w:t>
      </w:r>
    </w:p>
    <w:p w14:paraId="5743E0EC" w14:textId="77777777" w:rsidR="00C4133F" w:rsidRPr="00C4133F" w:rsidRDefault="00C4133F" w:rsidP="00957FE2">
      <w:pPr>
        <w:spacing w:after="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C4133F">
        <w:rPr>
          <w:rFonts w:asciiTheme="majorHAnsi" w:eastAsiaTheme="majorEastAsia" w:hAnsiTheme="majorHAnsi" w:cstheme="majorBidi"/>
          <w:b/>
          <w:bCs/>
          <w:sz w:val="28"/>
          <w:szCs w:val="28"/>
        </w:rPr>
        <w:t>Bottom line:</w:t>
      </w:r>
      <w:r w:rsidRPr="00C4133F">
        <w:rPr>
          <w:rFonts w:asciiTheme="majorHAnsi" w:eastAsiaTheme="majorEastAsia" w:hAnsiTheme="majorHAnsi" w:cstheme="majorBidi"/>
          <w:b/>
          <w:bCs/>
          <w:sz w:val="28"/>
          <w:szCs w:val="28"/>
        </w:rPr>
        <w:br/>
      </w:r>
      <w:r w:rsidRPr="00C4133F">
        <w:t>The MS-ADF setup is central to the paper. Referees accept its technical legitimacy but doubt:</w:t>
      </w:r>
    </w:p>
    <w:p w14:paraId="621895B3" w14:textId="77777777" w:rsidR="00C4133F" w:rsidRPr="00C4133F" w:rsidRDefault="00C4133F" w:rsidP="00957FE2">
      <w:pPr>
        <w:numPr>
          <w:ilvl w:val="0"/>
          <w:numId w:val="16"/>
        </w:numPr>
        <w:spacing w:after="0"/>
      </w:pPr>
      <w:r w:rsidRPr="00C4133F">
        <w:t>whether it truly identifies “non-stationary regimes” in an economically meaningful way, and</w:t>
      </w:r>
    </w:p>
    <w:p w14:paraId="08A3129D" w14:textId="7CDAE7E2" w:rsidR="00C4133F" w:rsidRDefault="00C4133F" w:rsidP="00C4133F">
      <w:pPr>
        <w:numPr>
          <w:ilvl w:val="0"/>
          <w:numId w:val="16"/>
        </w:numPr>
        <w:spacing w:after="0"/>
      </w:pPr>
      <w:r w:rsidRPr="00C4133F">
        <w:t xml:space="preserve">whether the improved rejection rates translate </w:t>
      </w:r>
      <w:r w:rsidRPr="00C4133F">
        <w:rPr>
          <w:b/>
          <w:bCs/>
        </w:rPr>
        <w:t>into substantive insigh</w:t>
      </w:r>
      <w:r w:rsidRPr="00C4133F">
        <w:t>t about sustainability or crises.</w:t>
      </w:r>
    </w:p>
    <w:p w14:paraId="71AD6659" w14:textId="5219DE27" w:rsidR="000C0F0A" w:rsidRDefault="004122DA" w:rsidP="004122DA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0C0F0A">
        <w:pict w14:anchorId="54672FCC">
          <v:rect id="_x0000_i1050" style="width:0;height:1.5pt" o:hralign="center" o:hrstd="t" o:hr="t" fillcolor="#a0a0a0" stroked="f"/>
        </w:pict>
      </w:r>
      <w:r w:rsidR="000C0F0A" w:rsidRPr="00233324">
        <w:rPr>
          <w:rStyle w:val="Heading1Char"/>
        </w:rPr>
        <w:t>4</w:t>
      </w:r>
      <w:r w:rsidR="000C0F0A" w:rsidRPr="00233324">
        <w:rPr>
          <w:rStyle w:val="Heading1Char"/>
        </w:rPr>
        <w:t>. Determinants of Non-Stationary Regimes (Probit) and Persistence (OLS)</w:t>
      </w:r>
    </w:p>
    <w:p w14:paraId="0C962980" w14:textId="77777777" w:rsidR="000C0F0A" w:rsidRPr="000C0F0A" w:rsidRDefault="000C0F0A" w:rsidP="000C0F0A">
      <w:pPr>
        <w:spacing w:after="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0C0F0A">
        <w:rPr>
          <w:rFonts w:asciiTheme="majorHAnsi" w:eastAsiaTheme="majorEastAsia" w:hAnsiTheme="majorHAnsi" w:cstheme="majorBidi"/>
          <w:b/>
          <w:bCs/>
          <w:sz w:val="28"/>
          <w:szCs w:val="28"/>
        </w:rPr>
        <w:t>Paper’s approach</w:t>
      </w:r>
    </w:p>
    <w:p w14:paraId="77C2C10E" w14:textId="77777777" w:rsidR="000C0F0A" w:rsidRPr="000C0F0A" w:rsidRDefault="000C0F0A" w:rsidP="000C0F0A">
      <w:pPr>
        <w:numPr>
          <w:ilvl w:val="0"/>
          <w:numId w:val="21"/>
        </w:numPr>
        <w:spacing w:after="0"/>
      </w:pPr>
      <w:r w:rsidRPr="000C0F0A">
        <w:t>Section 4:</w:t>
      </w:r>
    </w:p>
    <w:p w14:paraId="057520B6" w14:textId="77777777" w:rsidR="000C0F0A" w:rsidRPr="000C0F0A" w:rsidRDefault="000C0F0A" w:rsidP="000C0F0A">
      <w:pPr>
        <w:numPr>
          <w:ilvl w:val="1"/>
          <w:numId w:val="21"/>
        </w:numPr>
        <w:spacing w:after="0"/>
      </w:pPr>
      <w:r w:rsidRPr="000C0F0A">
        <w:rPr>
          <w:b/>
          <w:bCs/>
        </w:rPr>
        <w:t>Probit:</w:t>
      </w:r>
      <w:r w:rsidRPr="000C0F0A">
        <w:t xml:space="preserve"> dependent variable = indicator for being in a </w:t>
      </w:r>
      <w:proofErr w:type="gramStart"/>
      <w:r w:rsidRPr="000C0F0A">
        <w:t>locally</w:t>
      </w:r>
      <w:proofErr w:type="gramEnd"/>
      <w:r w:rsidRPr="000C0F0A">
        <w:t xml:space="preserve"> non-stationary regime </w:t>
      </w:r>
      <w:proofErr w:type="gramStart"/>
      <w:r w:rsidRPr="000C0F0A">
        <w:t>in a given year</w:t>
      </w:r>
      <w:proofErr w:type="gramEnd"/>
      <w:r w:rsidRPr="000C0F0A">
        <w:t xml:space="preserve">. Explanatory variables include exchange rate regime, RER misalignment, financial development, financial and trade openness, income level, reserves, NFA, budget balance, CA size, exporter dummies, crisis </w:t>
      </w:r>
      <w:proofErr w:type="gramStart"/>
      <w:r w:rsidRPr="000C0F0A">
        <w:t>dummy</w:t>
      </w:r>
      <w:proofErr w:type="gramEnd"/>
      <w:r w:rsidRPr="000C0F0A">
        <w:t xml:space="preserve">, euro dummy, etc. </w:t>
      </w:r>
    </w:p>
    <w:p w14:paraId="734B4AB0" w14:textId="77777777" w:rsidR="000C0F0A" w:rsidRPr="000C0F0A" w:rsidRDefault="000C0F0A" w:rsidP="000C0F0A">
      <w:pPr>
        <w:numPr>
          <w:ilvl w:val="1"/>
          <w:numId w:val="21"/>
        </w:numPr>
        <w:spacing w:after="0"/>
      </w:pPr>
      <w:r w:rsidRPr="000C0F0A">
        <w:rPr>
          <w:b/>
          <w:bCs/>
        </w:rPr>
        <w:t>OLS:</w:t>
      </w:r>
      <w:r w:rsidRPr="000C0F0A">
        <w:t xml:space="preserve"> persistence measured by the AR coefficient from regimes, regressed on similar fundamentals. </w:t>
      </w:r>
    </w:p>
    <w:p w14:paraId="747FEC0A" w14:textId="77777777" w:rsidR="000C0F0A" w:rsidRPr="000C0F0A" w:rsidRDefault="000C0F0A" w:rsidP="000C0F0A">
      <w:pPr>
        <w:numPr>
          <w:ilvl w:val="0"/>
          <w:numId w:val="21"/>
        </w:numPr>
        <w:spacing w:after="0"/>
      </w:pPr>
      <w:r w:rsidRPr="000C0F0A">
        <w:t>Findings:</w:t>
      </w:r>
    </w:p>
    <w:p w14:paraId="6A8F304B" w14:textId="77777777" w:rsidR="000C0F0A" w:rsidRPr="000C0F0A" w:rsidRDefault="000C0F0A" w:rsidP="000C0F0A">
      <w:pPr>
        <w:numPr>
          <w:ilvl w:val="1"/>
          <w:numId w:val="21"/>
        </w:numPr>
        <w:spacing w:after="0"/>
      </w:pPr>
      <w:r w:rsidRPr="000C0F0A">
        <w:t xml:space="preserve">Fixed ER increases the probability of entering the random-walk regime for developing/emerging markets; trade openness and NFA reduce that probability; financial openness can increase it for EMEs. </w:t>
      </w:r>
    </w:p>
    <w:p w14:paraId="1D78C172" w14:textId="77777777" w:rsidR="000C0F0A" w:rsidRPr="000C0F0A" w:rsidRDefault="000C0F0A" w:rsidP="000C0F0A">
      <w:pPr>
        <w:numPr>
          <w:ilvl w:val="1"/>
          <w:numId w:val="21"/>
        </w:numPr>
        <w:spacing w:after="0"/>
      </w:pPr>
      <w:r w:rsidRPr="000C0F0A">
        <w:lastRenderedPageBreak/>
        <w:t xml:space="preserve">Within stationary regimes, exchange rate regime matters less; openness and RER misalignment reduce persistence; reserves increase it. </w:t>
      </w:r>
    </w:p>
    <w:p w14:paraId="2E7819E6" w14:textId="77777777" w:rsidR="000C0F0A" w:rsidRPr="000C0F0A" w:rsidRDefault="000C0F0A" w:rsidP="000C0F0A">
      <w:pPr>
        <w:spacing w:after="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0C0F0A">
        <w:rPr>
          <w:rFonts w:asciiTheme="majorHAnsi" w:eastAsiaTheme="majorEastAsia" w:hAnsiTheme="majorHAnsi" w:cstheme="majorBidi"/>
          <w:b/>
          <w:bCs/>
          <w:sz w:val="28"/>
          <w:szCs w:val="28"/>
        </w:rPr>
        <w:t>Referee critiques</w:t>
      </w:r>
    </w:p>
    <w:p w14:paraId="50866B43" w14:textId="77777777" w:rsidR="000C0F0A" w:rsidRPr="000C0F0A" w:rsidRDefault="000C0F0A" w:rsidP="000C0F0A">
      <w:pPr>
        <w:numPr>
          <w:ilvl w:val="0"/>
          <w:numId w:val="22"/>
        </w:numPr>
        <w:spacing w:after="0"/>
      </w:pPr>
      <w:r w:rsidRPr="000C0F0A">
        <w:rPr>
          <w:b/>
          <w:bCs/>
        </w:rPr>
        <w:t>“Kitchen-sink” criticism (JIE Reviewer 1):</w:t>
      </w:r>
    </w:p>
    <w:p w14:paraId="4FCDD9F5" w14:textId="77777777" w:rsidR="000C0F0A" w:rsidRPr="000C0F0A" w:rsidRDefault="000C0F0A" w:rsidP="000C0F0A">
      <w:pPr>
        <w:numPr>
          <w:ilvl w:val="1"/>
          <w:numId w:val="22"/>
        </w:numPr>
        <w:spacing w:after="0"/>
      </w:pPr>
      <w:r w:rsidRPr="000C0F0A">
        <w:t xml:space="preserve">The determinants section (especially the long list of controls) is described as having a </w:t>
      </w:r>
      <w:r w:rsidRPr="000C0F0A">
        <w:rPr>
          <w:b/>
          <w:bCs/>
        </w:rPr>
        <w:t>“kitchen-sink” feel</w:t>
      </w:r>
      <w:r w:rsidRPr="000C0F0A">
        <w:t xml:space="preserve"> with no clear </w:t>
      </w:r>
      <w:r w:rsidRPr="000C0F0A">
        <w:rPr>
          <w:b/>
          <w:bCs/>
        </w:rPr>
        <w:t>underlying theoretical framework being tested.</w:t>
      </w:r>
      <w:r w:rsidRPr="000C0F0A">
        <w:t xml:space="preserve"> </w:t>
      </w:r>
    </w:p>
    <w:p w14:paraId="606B80C0" w14:textId="77777777" w:rsidR="000C0F0A" w:rsidRPr="000C0F0A" w:rsidRDefault="000C0F0A" w:rsidP="000C0F0A">
      <w:pPr>
        <w:numPr>
          <w:ilvl w:val="1"/>
          <w:numId w:val="22"/>
        </w:numPr>
        <w:spacing w:after="0"/>
      </w:pPr>
      <w:r w:rsidRPr="000C0F0A">
        <w:t xml:space="preserve">Suggestion: </w:t>
      </w:r>
      <w:r w:rsidRPr="000C0F0A">
        <w:rPr>
          <w:b/>
          <w:bCs/>
        </w:rPr>
        <w:t>narrow the focus</w:t>
      </w:r>
      <w:r w:rsidRPr="000C0F0A">
        <w:t xml:space="preserve"> to a core variable (e.g., exchange rate regime) with strong </w:t>
      </w:r>
      <w:proofErr w:type="gramStart"/>
      <w:r w:rsidRPr="000C0F0A">
        <w:t>theory, and</w:t>
      </w:r>
      <w:proofErr w:type="gramEnd"/>
      <w:r w:rsidRPr="000C0F0A">
        <w:t xml:space="preserve"> treat the rest as supporting controls with rigorous robustness checks. </w:t>
      </w:r>
    </w:p>
    <w:p w14:paraId="3C97E96D" w14:textId="77777777" w:rsidR="000C0F0A" w:rsidRPr="000C0F0A" w:rsidRDefault="000C0F0A" w:rsidP="000C0F0A">
      <w:pPr>
        <w:numPr>
          <w:ilvl w:val="0"/>
          <w:numId w:val="22"/>
        </w:numPr>
        <w:spacing w:after="0"/>
      </w:pPr>
      <w:r w:rsidRPr="000C0F0A">
        <w:rPr>
          <w:b/>
          <w:bCs/>
        </w:rPr>
        <w:t>Inconsistent signs and interpretation:</w:t>
      </w:r>
    </w:p>
    <w:p w14:paraId="2AE2E226" w14:textId="77777777" w:rsidR="000C0F0A" w:rsidRPr="000C0F0A" w:rsidRDefault="000C0F0A" w:rsidP="000C0F0A">
      <w:pPr>
        <w:numPr>
          <w:ilvl w:val="1"/>
          <w:numId w:val="22"/>
        </w:numPr>
        <w:spacing w:after="0"/>
      </w:pPr>
      <w:r w:rsidRPr="000C0F0A">
        <w:t xml:space="preserve">The JIE referee notes that variables like </w:t>
      </w:r>
      <w:r w:rsidRPr="000C0F0A">
        <w:rPr>
          <w:b/>
          <w:bCs/>
        </w:rPr>
        <w:t>capital account openness</w:t>
      </w:r>
      <w:r w:rsidRPr="000C0F0A">
        <w:t xml:space="preserve"> flip sign and significance between the probit and OLS results (positive in entering non-stationary regimes, negative for persistence in stationary regimes), making the </w:t>
      </w:r>
      <w:r w:rsidRPr="000C0F0A">
        <w:rPr>
          <w:b/>
          <w:bCs/>
        </w:rPr>
        <w:t>economic interpretation unclear.</w:t>
      </w:r>
      <w:r w:rsidRPr="000C0F0A">
        <w:t xml:space="preserve"> </w:t>
      </w:r>
    </w:p>
    <w:p w14:paraId="7CA9BACD" w14:textId="77777777" w:rsidR="000C0F0A" w:rsidRPr="000C0F0A" w:rsidRDefault="000C0F0A" w:rsidP="000C0F0A">
      <w:pPr>
        <w:numPr>
          <w:ilvl w:val="0"/>
          <w:numId w:val="22"/>
        </w:numPr>
        <w:spacing w:after="0"/>
      </w:pPr>
      <w:r w:rsidRPr="000C0F0A">
        <w:rPr>
          <w:b/>
          <w:bCs/>
        </w:rPr>
        <w:t>Omitted variable / exogeneity concerns:</w:t>
      </w:r>
    </w:p>
    <w:p w14:paraId="167036E6" w14:textId="77777777" w:rsidR="000C0F0A" w:rsidRPr="000C0F0A" w:rsidRDefault="000C0F0A" w:rsidP="000C0F0A">
      <w:pPr>
        <w:numPr>
          <w:ilvl w:val="1"/>
          <w:numId w:val="22"/>
        </w:numPr>
        <w:spacing w:after="0"/>
      </w:pPr>
      <w:r w:rsidRPr="000C0F0A">
        <w:t xml:space="preserve">JIE Reviewers and JIMF Reviewers question treating </w:t>
      </w:r>
      <w:r w:rsidRPr="000C0F0A">
        <w:rPr>
          <w:b/>
          <w:bCs/>
        </w:rPr>
        <w:t>exchange rate regime, RER misalignment, and reserve accumulation as exogenous</w:t>
      </w:r>
      <w:r w:rsidRPr="000C0F0A">
        <w:t xml:space="preserve"> to CA persistence, </w:t>
      </w:r>
      <w:proofErr w:type="gramStart"/>
      <w:r w:rsidRPr="000C0F0A">
        <w:t>and also</w:t>
      </w:r>
      <w:proofErr w:type="gramEnd"/>
      <w:r w:rsidRPr="000C0F0A">
        <w:t xml:space="preserve"> stress possible </w:t>
      </w:r>
      <w:r w:rsidRPr="000C0F0A">
        <w:rPr>
          <w:b/>
          <w:bCs/>
        </w:rPr>
        <w:t>multicollinearity and interaction effects</w:t>
      </w:r>
      <w:r w:rsidRPr="000C0F0A">
        <w:t xml:space="preserve"> (e.g., regime dummies vs RER misalignment). </w:t>
      </w:r>
    </w:p>
    <w:p w14:paraId="3A999471" w14:textId="77777777" w:rsidR="000C0F0A" w:rsidRPr="000C0F0A" w:rsidRDefault="000C0F0A" w:rsidP="000C0F0A">
      <w:pPr>
        <w:numPr>
          <w:ilvl w:val="0"/>
          <w:numId w:val="22"/>
        </w:numPr>
        <w:spacing w:after="0"/>
      </w:pPr>
      <w:r w:rsidRPr="000C0F0A">
        <w:rPr>
          <w:b/>
          <w:bCs/>
        </w:rPr>
        <w:t>Contribution vs existing literature:</w:t>
      </w:r>
    </w:p>
    <w:p w14:paraId="1A45CE36" w14:textId="708A8D3B" w:rsidR="000C0F0A" w:rsidRDefault="000C0F0A" w:rsidP="000C0F0A">
      <w:pPr>
        <w:numPr>
          <w:ilvl w:val="1"/>
          <w:numId w:val="22"/>
        </w:numPr>
        <w:spacing w:after="0"/>
      </w:pPr>
      <w:r w:rsidRPr="000C0F0A">
        <w:t xml:space="preserve">JIE Reviewer 2 notes that effects of trade openness, financial development, etc., are already well documented; the value-added isn’t clear given how </w:t>
      </w:r>
      <w:proofErr w:type="gramStart"/>
      <w:r w:rsidRPr="000C0F0A">
        <w:t>much of</w:t>
      </w:r>
      <w:proofErr w:type="gramEnd"/>
      <w:r w:rsidRPr="000C0F0A">
        <w:t xml:space="preserve"> Section 4 revisits these known correlates. </w:t>
      </w:r>
    </w:p>
    <w:p w14:paraId="06DAD1D4" w14:textId="77777777" w:rsidR="000C0F0A" w:rsidRPr="000C0F0A" w:rsidRDefault="000C0F0A" w:rsidP="000C0F0A">
      <w:pPr>
        <w:spacing w:after="0"/>
        <w:ind w:left="1440"/>
      </w:pPr>
    </w:p>
    <w:p w14:paraId="25E9FB3C" w14:textId="77777777" w:rsidR="000C0F0A" w:rsidRPr="000C0F0A" w:rsidRDefault="000C0F0A" w:rsidP="000C0F0A">
      <w:pPr>
        <w:spacing w:after="0"/>
      </w:pPr>
      <w:r w:rsidRPr="000C0F0A">
        <w:rPr>
          <w:rFonts w:asciiTheme="majorHAnsi" w:eastAsiaTheme="majorEastAsia" w:hAnsiTheme="majorHAnsi" w:cstheme="majorBidi"/>
          <w:b/>
          <w:bCs/>
          <w:sz w:val="28"/>
          <w:szCs w:val="28"/>
        </w:rPr>
        <w:t>Bottom line:</w:t>
      </w:r>
      <w:r w:rsidRPr="000C0F0A">
        <w:br/>
        <w:t xml:space="preserve">The determinants section is seen as </w:t>
      </w:r>
      <w:r w:rsidRPr="000C0F0A">
        <w:rPr>
          <w:b/>
          <w:bCs/>
        </w:rPr>
        <w:t>empirically rich but theoretically under-anchored</w:t>
      </w:r>
      <w:r w:rsidRPr="000C0F0A">
        <w:t>, with too many variables and some conflicting patterns, making it hard for referees to extract a crisp economic message.</w:t>
      </w:r>
    </w:p>
    <w:p w14:paraId="223FAF61" w14:textId="000D3C75" w:rsidR="00C4133F" w:rsidRDefault="004122DA" w:rsidP="00833858">
      <w:r w:rsidRPr="000C0F0A">
        <w:pict w14:anchorId="0618CA15">
          <v:rect id="_x0000_i1049" style="width:0;height:1.5pt" o:hralign="center" o:hrstd="t" o:hr="t" fillcolor="#a0a0a0" stroked="f"/>
        </w:pict>
      </w:r>
    </w:p>
    <w:p w14:paraId="5FD229C3" w14:textId="05F3561C" w:rsidR="000C0F0A" w:rsidRPr="000C0F0A" w:rsidRDefault="000C0F0A" w:rsidP="00233324">
      <w:pPr>
        <w:pStyle w:val="Heading1"/>
      </w:pPr>
      <w:r w:rsidRPr="000C0F0A">
        <w:t>5. Exchange Rate Regimes: The Key “New” Result</w:t>
      </w:r>
    </w:p>
    <w:p w14:paraId="1C990B03" w14:textId="77777777" w:rsidR="000C0F0A" w:rsidRPr="000C0F0A" w:rsidRDefault="000C0F0A" w:rsidP="000C0F0A">
      <w:pPr>
        <w:spacing w:after="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0C0F0A">
        <w:rPr>
          <w:rFonts w:asciiTheme="majorHAnsi" w:eastAsiaTheme="majorEastAsia" w:hAnsiTheme="majorHAnsi" w:cstheme="majorBidi"/>
          <w:b/>
          <w:bCs/>
          <w:sz w:val="28"/>
          <w:szCs w:val="28"/>
        </w:rPr>
        <w:t>Paper’s claim</w:t>
      </w:r>
    </w:p>
    <w:p w14:paraId="36483E85" w14:textId="77777777" w:rsidR="000C0F0A" w:rsidRPr="000C0F0A" w:rsidRDefault="000C0F0A" w:rsidP="000C0F0A">
      <w:pPr>
        <w:numPr>
          <w:ilvl w:val="0"/>
          <w:numId w:val="23"/>
        </w:numPr>
        <w:spacing w:after="0"/>
      </w:pPr>
      <w:r w:rsidRPr="000C0F0A">
        <w:t>Abstract and conclusions emphasize an important, seemingly novel result:</w:t>
      </w:r>
    </w:p>
    <w:p w14:paraId="0C933249" w14:textId="77777777" w:rsidR="000C0F0A" w:rsidRDefault="000C0F0A" w:rsidP="000C0F0A">
      <w:pPr>
        <w:numPr>
          <w:ilvl w:val="1"/>
          <w:numId w:val="23"/>
        </w:numPr>
        <w:spacing w:after="0"/>
      </w:pPr>
      <w:r w:rsidRPr="000C0F0A">
        <w:rPr>
          <w:b/>
          <w:bCs/>
        </w:rPr>
        <w:t>Emerging market countries with fixed exchange rate regimes are more likely to enter a random-walk (non-stationary) regime</w:t>
      </w:r>
      <w:r w:rsidRPr="000C0F0A">
        <w:t xml:space="preserve">, i.e., fixed ERs are associated with more persistent or non-rebalancing CA behavior, in contrast to Chinn &amp; Wei. </w:t>
      </w:r>
    </w:p>
    <w:p w14:paraId="0BD7FD42" w14:textId="77777777" w:rsidR="000C0F0A" w:rsidRPr="000C0F0A" w:rsidRDefault="000C0F0A" w:rsidP="000C0F0A">
      <w:pPr>
        <w:spacing w:after="0"/>
        <w:ind w:left="1440"/>
      </w:pPr>
    </w:p>
    <w:p w14:paraId="20504017" w14:textId="77777777" w:rsidR="000C0F0A" w:rsidRPr="000C0F0A" w:rsidRDefault="000C0F0A" w:rsidP="000C0F0A">
      <w:pPr>
        <w:spacing w:after="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0C0F0A">
        <w:rPr>
          <w:rFonts w:asciiTheme="majorHAnsi" w:eastAsiaTheme="majorEastAsia" w:hAnsiTheme="majorHAnsi" w:cstheme="majorBidi"/>
          <w:b/>
          <w:bCs/>
          <w:sz w:val="28"/>
          <w:szCs w:val="28"/>
        </w:rPr>
        <w:t>Referee reaction</w:t>
      </w:r>
    </w:p>
    <w:p w14:paraId="41B776D7" w14:textId="77777777" w:rsidR="000C0F0A" w:rsidRPr="000C0F0A" w:rsidRDefault="000C0F0A" w:rsidP="000C0F0A">
      <w:pPr>
        <w:numPr>
          <w:ilvl w:val="0"/>
          <w:numId w:val="24"/>
        </w:numPr>
        <w:spacing w:after="0"/>
      </w:pPr>
      <w:r w:rsidRPr="000C0F0A">
        <w:lastRenderedPageBreak/>
        <w:t xml:space="preserve">They recognize this as the </w:t>
      </w:r>
      <w:r w:rsidRPr="000C0F0A">
        <w:rPr>
          <w:b/>
          <w:bCs/>
        </w:rPr>
        <w:t xml:space="preserve">only </w:t>
      </w:r>
      <w:proofErr w:type="gramStart"/>
      <w:r w:rsidRPr="000C0F0A">
        <w:rPr>
          <w:b/>
          <w:bCs/>
        </w:rPr>
        <w:t>clearly</w:t>
      </w:r>
      <w:proofErr w:type="gramEnd"/>
      <w:r w:rsidRPr="000C0F0A">
        <w:rPr>
          <w:b/>
          <w:bCs/>
        </w:rPr>
        <w:t xml:space="preserve"> new result</w:t>
      </w:r>
      <w:r w:rsidRPr="000C0F0A">
        <w:t xml:space="preserve"> relative to </w:t>
      </w:r>
      <w:proofErr w:type="gramStart"/>
      <w:r w:rsidRPr="000C0F0A">
        <w:t>the literature—</w:t>
      </w:r>
      <w:proofErr w:type="gramEnd"/>
      <w:r w:rsidRPr="000C0F0A">
        <w:t>but also the most troubling:</w:t>
      </w:r>
    </w:p>
    <w:p w14:paraId="3656F0B2" w14:textId="77777777" w:rsidR="000C0F0A" w:rsidRPr="000C0F0A" w:rsidRDefault="000C0F0A" w:rsidP="000C0F0A">
      <w:pPr>
        <w:numPr>
          <w:ilvl w:val="1"/>
          <w:numId w:val="24"/>
        </w:numPr>
        <w:spacing w:after="0"/>
      </w:pPr>
      <w:r w:rsidRPr="000C0F0A">
        <w:t xml:space="preserve">JIE Reviewer 2: for results that match existing literature, we don’t learn much new; for the </w:t>
      </w:r>
      <w:r w:rsidRPr="000C0F0A">
        <w:rPr>
          <w:b/>
          <w:bCs/>
        </w:rPr>
        <w:t>single divergent result</w:t>
      </w:r>
      <w:r w:rsidRPr="000C0F0A">
        <w:t xml:space="preserve"> (role of ER regime), the paper </w:t>
      </w:r>
      <w:r w:rsidRPr="000C0F0A">
        <w:rPr>
          <w:b/>
          <w:bCs/>
        </w:rPr>
        <w:t>does not explain well why it differs from Chinn &amp; Wei</w:t>
      </w:r>
      <w:r w:rsidRPr="000C0F0A">
        <w:t xml:space="preserve">. </w:t>
      </w:r>
    </w:p>
    <w:p w14:paraId="3D8ABECA" w14:textId="77777777" w:rsidR="000C0F0A" w:rsidRPr="000C0F0A" w:rsidRDefault="000C0F0A" w:rsidP="000C0F0A">
      <w:pPr>
        <w:numPr>
          <w:ilvl w:val="1"/>
          <w:numId w:val="24"/>
        </w:numPr>
      </w:pPr>
      <w:r w:rsidRPr="000C0F0A">
        <w:t xml:space="preserve">They ask whether differences arise from probit vs mean-reverting regressions, from sample, from regime definition, or from non-linearity. </w:t>
      </w:r>
    </w:p>
    <w:p w14:paraId="6160FAF5" w14:textId="77777777" w:rsidR="000C0F0A" w:rsidRPr="000C0F0A" w:rsidRDefault="000C0F0A" w:rsidP="004122DA">
      <w:pPr>
        <w:numPr>
          <w:ilvl w:val="1"/>
          <w:numId w:val="24"/>
        </w:numPr>
        <w:spacing w:after="0"/>
      </w:pPr>
      <w:r w:rsidRPr="000C0F0A">
        <w:t xml:space="preserve">They also note that your </w:t>
      </w:r>
      <w:r w:rsidRPr="000C0F0A">
        <w:rPr>
          <w:b/>
          <w:bCs/>
        </w:rPr>
        <w:t>binary regime classification (fixed vs flexible) aggregates categories</w:t>
      </w:r>
      <w:r w:rsidRPr="000C0F0A">
        <w:t xml:space="preserve"> that Chinn &amp; Wei treat separately (float, dirty float, crawl, etc.), possibly washing out the non-linearities they find. </w:t>
      </w:r>
    </w:p>
    <w:p w14:paraId="6CCE986C" w14:textId="77777777" w:rsidR="000C0F0A" w:rsidRPr="000C0F0A" w:rsidRDefault="000C0F0A" w:rsidP="004122DA">
      <w:pPr>
        <w:numPr>
          <w:ilvl w:val="0"/>
          <w:numId w:val="24"/>
        </w:numPr>
        <w:spacing w:after="0"/>
      </w:pPr>
      <w:r w:rsidRPr="000C0F0A">
        <w:t xml:space="preserve">In OLS persistence regressions </w:t>
      </w:r>
      <w:r w:rsidRPr="000C0F0A">
        <w:rPr>
          <w:b/>
          <w:bCs/>
        </w:rPr>
        <w:t>exchange rate regimes no longer matter</w:t>
      </w:r>
      <w:r w:rsidRPr="000C0F0A">
        <w:t xml:space="preserve">, which they feel is awkward given the storyline built around ER regimes. </w:t>
      </w:r>
    </w:p>
    <w:p w14:paraId="5B95B9E6" w14:textId="77777777" w:rsidR="004122DA" w:rsidRDefault="004122DA" w:rsidP="000C0F0A"/>
    <w:p w14:paraId="628AEA55" w14:textId="7CD6E82B" w:rsidR="000C0F0A" w:rsidRPr="000C0F0A" w:rsidRDefault="000C0F0A" w:rsidP="000C0F0A">
      <w:r w:rsidRPr="000C0F0A">
        <w:rPr>
          <w:rFonts w:asciiTheme="majorHAnsi" w:eastAsiaTheme="majorEastAsia" w:hAnsiTheme="majorHAnsi" w:cstheme="majorBidi"/>
          <w:b/>
          <w:bCs/>
          <w:sz w:val="28"/>
          <w:szCs w:val="28"/>
        </w:rPr>
        <w:t>Bottom line:</w:t>
      </w:r>
      <w:r w:rsidRPr="000C0F0A">
        <w:br/>
        <w:t xml:space="preserve">Referees see the ER-regime result as potentially important </w:t>
      </w:r>
      <w:r w:rsidRPr="000C0F0A">
        <w:rPr>
          <w:i/>
          <w:iCs/>
        </w:rPr>
        <w:t>if</w:t>
      </w:r>
      <w:r w:rsidRPr="000C0F0A">
        <w:t xml:space="preserve"> convincingly justified—but </w:t>
      </w:r>
      <w:r w:rsidRPr="000C0F0A">
        <w:rPr>
          <w:b/>
          <w:bCs/>
        </w:rPr>
        <w:t>currently under-explained and somewhat fragile</w:t>
      </w:r>
      <w:r w:rsidRPr="000C0F0A">
        <w:t>, especially relative to Chinn &amp; Wei.</w:t>
      </w:r>
    </w:p>
    <w:p w14:paraId="064CB8F1" w14:textId="77777777" w:rsidR="000C0F0A" w:rsidRPr="000C0F0A" w:rsidRDefault="000C0F0A" w:rsidP="000C0F0A">
      <w:r w:rsidRPr="000C0F0A">
        <w:pict w14:anchorId="75867454">
          <v:rect id="_x0000_i1043" style="width:0;height:1.5pt" o:hralign="center" o:hrstd="t" o:hr="t" fillcolor="#a0a0a0" stroked="f"/>
        </w:pict>
      </w:r>
    </w:p>
    <w:p w14:paraId="485FA4E8" w14:textId="68D23263" w:rsidR="000C0F0A" w:rsidRPr="000C0F0A" w:rsidRDefault="000C0F0A" w:rsidP="00233324">
      <w:pPr>
        <w:pStyle w:val="Heading1"/>
        <w:rPr>
          <w:rFonts w:asciiTheme="minorHAnsi" w:eastAsiaTheme="minorEastAsia" w:hAnsiTheme="minorHAnsi" w:cstheme="minorBidi"/>
          <w:sz w:val="22"/>
          <w:szCs w:val="22"/>
        </w:rPr>
      </w:pPr>
      <w:r w:rsidRPr="000C0F0A">
        <w:t>6. Data and Construction Issues</w:t>
      </w:r>
    </w:p>
    <w:p w14:paraId="18462A55" w14:textId="77777777" w:rsidR="000C0F0A" w:rsidRPr="000C0F0A" w:rsidRDefault="000C0F0A" w:rsidP="004122DA">
      <w:pPr>
        <w:spacing w:after="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0C0F0A">
        <w:rPr>
          <w:rFonts w:asciiTheme="majorHAnsi" w:eastAsiaTheme="majorEastAsia" w:hAnsiTheme="majorHAnsi" w:cstheme="majorBidi"/>
          <w:b/>
          <w:bCs/>
          <w:sz w:val="28"/>
          <w:szCs w:val="28"/>
        </w:rPr>
        <w:t>Paper</w:t>
      </w:r>
    </w:p>
    <w:p w14:paraId="56D2AE62" w14:textId="77777777" w:rsidR="000C0F0A" w:rsidRPr="000C0F0A" w:rsidRDefault="000C0F0A" w:rsidP="004122DA">
      <w:pPr>
        <w:numPr>
          <w:ilvl w:val="0"/>
          <w:numId w:val="25"/>
        </w:numPr>
        <w:spacing w:after="0"/>
      </w:pPr>
      <w:r w:rsidRPr="000C0F0A">
        <w:t xml:space="preserve">Uses </w:t>
      </w:r>
      <w:r w:rsidRPr="000C0F0A">
        <w:rPr>
          <w:b/>
          <w:bCs/>
        </w:rPr>
        <w:t>quarterly CA data</w:t>
      </w:r>
      <w:r w:rsidRPr="000C0F0A">
        <w:t xml:space="preserve"> and MS-ADF to identify regimes, then </w:t>
      </w:r>
      <w:r w:rsidRPr="000C0F0A">
        <w:rPr>
          <w:b/>
          <w:bCs/>
        </w:rPr>
        <w:t>aggregates to annual</w:t>
      </w:r>
      <w:r w:rsidRPr="000C0F0A">
        <w:t xml:space="preserve"> values for probit and other regressions. </w:t>
      </w:r>
    </w:p>
    <w:p w14:paraId="1340D91F" w14:textId="77777777" w:rsidR="000C0F0A" w:rsidRPr="000C0F0A" w:rsidRDefault="000C0F0A" w:rsidP="004122DA">
      <w:pPr>
        <w:numPr>
          <w:ilvl w:val="0"/>
          <w:numId w:val="25"/>
        </w:numPr>
        <w:spacing w:after="0"/>
      </w:pPr>
      <w:r w:rsidRPr="000C0F0A">
        <w:t xml:space="preserve">Constructs many explanatory </w:t>
      </w:r>
      <w:proofErr w:type="gramStart"/>
      <w:r w:rsidRPr="000C0F0A">
        <w:t>variables</w:t>
      </w:r>
      <w:proofErr w:type="gramEnd"/>
      <w:r w:rsidRPr="000C0F0A">
        <w:t xml:space="preserve"> as:</w:t>
      </w:r>
    </w:p>
    <w:p w14:paraId="39D634A2" w14:textId="77777777" w:rsidR="000C0F0A" w:rsidRPr="000C0F0A" w:rsidRDefault="000C0F0A" w:rsidP="004122DA">
      <w:pPr>
        <w:numPr>
          <w:ilvl w:val="1"/>
          <w:numId w:val="25"/>
        </w:numPr>
        <w:spacing w:after="0"/>
      </w:pPr>
      <w:r w:rsidRPr="000C0F0A">
        <w:t xml:space="preserve">3-year sums or averages (e.g., CA size, budget balance, financial development) and deviations from world means (financial openness, reserves). </w:t>
      </w:r>
    </w:p>
    <w:p w14:paraId="094B9AF3" w14:textId="77777777" w:rsidR="000C0F0A" w:rsidRPr="000C0F0A" w:rsidRDefault="000C0F0A" w:rsidP="004122DA">
      <w:pPr>
        <w:spacing w:after="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0C0F0A">
        <w:rPr>
          <w:rFonts w:asciiTheme="majorHAnsi" w:eastAsiaTheme="majorEastAsia" w:hAnsiTheme="majorHAnsi" w:cstheme="majorBidi"/>
          <w:b/>
          <w:bCs/>
          <w:sz w:val="28"/>
          <w:szCs w:val="28"/>
        </w:rPr>
        <w:t>Referees</w:t>
      </w:r>
    </w:p>
    <w:p w14:paraId="348416F2" w14:textId="77777777" w:rsidR="000C0F0A" w:rsidRPr="000C0F0A" w:rsidRDefault="000C0F0A" w:rsidP="004122DA">
      <w:pPr>
        <w:numPr>
          <w:ilvl w:val="0"/>
          <w:numId w:val="26"/>
        </w:numPr>
        <w:spacing w:after="0"/>
      </w:pPr>
      <w:r w:rsidRPr="000C0F0A">
        <w:t xml:space="preserve">Ask for </w:t>
      </w:r>
      <w:r w:rsidRPr="000C0F0A">
        <w:rPr>
          <w:b/>
          <w:bCs/>
        </w:rPr>
        <w:t>clarity on the mapping</w:t>
      </w:r>
      <w:r w:rsidRPr="000C0F0A">
        <w:t xml:space="preserve"> from quarterly MS regimes to annual probit data and suggest exploring MS models estimated directly on annual series. </w:t>
      </w:r>
    </w:p>
    <w:p w14:paraId="718D1DE9" w14:textId="77777777" w:rsidR="000C0F0A" w:rsidRPr="000C0F0A" w:rsidRDefault="000C0F0A" w:rsidP="004122DA">
      <w:pPr>
        <w:numPr>
          <w:ilvl w:val="0"/>
          <w:numId w:val="26"/>
        </w:numPr>
        <w:spacing w:after="0"/>
      </w:pPr>
      <w:r w:rsidRPr="000C0F0A">
        <w:t xml:space="preserve">Question the logic of using deviations from the world </w:t>
      </w:r>
      <w:proofErr w:type="gramStart"/>
      <w:r w:rsidRPr="000C0F0A">
        <w:t>mean</w:t>
      </w:r>
      <w:proofErr w:type="gramEnd"/>
      <w:r w:rsidRPr="000C0F0A">
        <w:t xml:space="preserve"> (e.g., for financial openness) and ask for more explanation. </w:t>
      </w:r>
    </w:p>
    <w:p w14:paraId="0F6C95B1" w14:textId="77777777" w:rsidR="000C0F0A" w:rsidRPr="000C0F0A" w:rsidRDefault="000C0F0A" w:rsidP="004122DA">
      <w:pPr>
        <w:numPr>
          <w:ilvl w:val="0"/>
          <w:numId w:val="26"/>
        </w:numPr>
        <w:spacing w:after="0"/>
      </w:pPr>
      <w:r w:rsidRPr="000C0F0A">
        <w:t xml:space="preserve">Raise concerns about </w:t>
      </w:r>
      <w:r w:rsidRPr="000C0F0A">
        <w:rPr>
          <w:b/>
          <w:bCs/>
        </w:rPr>
        <w:t>outlier countries</w:t>
      </w:r>
      <w:r w:rsidRPr="000C0F0A">
        <w:t xml:space="preserve"> (China, U.S. episodes) and whether the regime identification for them is robust and economically interpretable. </w:t>
      </w:r>
    </w:p>
    <w:p w14:paraId="5902DFDB" w14:textId="77777777" w:rsidR="000C0F0A" w:rsidRPr="000C0F0A" w:rsidRDefault="000C0F0A" w:rsidP="000C0F0A">
      <w:r w:rsidRPr="000C0F0A">
        <w:pict w14:anchorId="4229A30A">
          <v:rect id="_x0000_i1044" style="width:0;height:1.5pt" o:hralign="center" o:hrstd="t" o:hr="t" fillcolor="#a0a0a0" stroked="f"/>
        </w:pict>
      </w:r>
    </w:p>
    <w:p w14:paraId="5E52B165" w14:textId="77777777" w:rsidR="000C0F0A" w:rsidRPr="000C0F0A" w:rsidRDefault="000C0F0A" w:rsidP="00233324">
      <w:pPr>
        <w:pStyle w:val="Heading1"/>
      </w:pPr>
      <w:r w:rsidRPr="000C0F0A">
        <w:t>7. Exposition, Narrative, and Policy Language</w:t>
      </w:r>
    </w:p>
    <w:p w14:paraId="256C4B8E" w14:textId="77777777" w:rsidR="000C0F0A" w:rsidRPr="000C0F0A" w:rsidRDefault="000C0F0A" w:rsidP="004122DA">
      <w:pPr>
        <w:spacing w:after="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0C0F0A">
        <w:rPr>
          <w:rFonts w:asciiTheme="majorHAnsi" w:eastAsiaTheme="majorEastAsia" w:hAnsiTheme="majorHAnsi" w:cstheme="majorBidi"/>
          <w:b/>
          <w:bCs/>
          <w:sz w:val="28"/>
          <w:szCs w:val="28"/>
        </w:rPr>
        <w:t>Paper</w:t>
      </w:r>
    </w:p>
    <w:p w14:paraId="469B5496" w14:textId="77777777" w:rsidR="000C0F0A" w:rsidRDefault="000C0F0A" w:rsidP="004122DA">
      <w:pPr>
        <w:numPr>
          <w:ilvl w:val="0"/>
          <w:numId w:val="27"/>
        </w:numPr>
        <w:spacing w:after="0"/>
      </w:pPr>
      <w:r w:rsidRPr="000C0F0A">
        <w:lastRenderedPageBreak/>
        <w:t xml:space="preserve">The introduction links global imbalances, CA persistence, and crisis risk, sometimes with strong language (e.g., “severe constraints,” “delicate balancing act,” “red signal”). </w:t>
      </w:r>
    </w:p>
    <w:p w14:paraId="1E55621D" w14:textId="77777777" w:rsidR="004122DA" w:rsidRPr="000C0F0A" w:rsidRDefault="004122DA" w:rsidP="004122DA">
      <w:pPr>
        <w:spacing w:after="0"/>
        <w:ind w:left="720"/>
      </w:pPr>
    </w:p>
    <w:p w14:paraId="7EE160BA" w14:textId="77777777" w:rsidR="000C0F0A" w:rsidRPr="000C0F0A" w:rsidRDefault="000C0F0A" w:rsidP="004122DA">
      <w:pPr>
        <w:spacing w:after="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0C0F0A">
        <w:rPr>
          <w:rFonts w:asciiTheme="majorHAnsi" w:eastAsiaTheme="majorEastAsia" w:hAnsiTheme="majorHAnsi" w:cstheme="majorBidi"/>
          <w:b/>
          <w:bCs/>
          <w:sz w:val="28"/>
          <w:szCs w:val="28"/>
        </w:rPr>
        <w:t>Referees</w:t>
      </w:r>
    </w:p>
    <w:p w14:paraId="2748C5B2" w14:textId="77777777" w:rsidR="000C0F0A" w:rsidRPr="000C0F0A" w:rsidRDefault="000C0F0A" w:rsidP="004122DA">
      <w:pPr>
        <w:numPr>
          <w:ilvl w:val="0"/>
          <w:numId w:val="28"/>
        </w:numPr>
        <w:spacing w:after="0"/>
      </w:pPr>
      <w:r w:rsidRPr="000C0F0A">
        <w:t>JIMF Reviewer 1 criticizes some macro statements:</w:t>
      </w:r>
    </w:p>
    <w:p w14:paraId="2DD4F689" w14:textId="77777777" w:rsidR="000C0F0A" w:rsidRPr="000C0F0A" w:rsidRDefault="000C0F0A" w:rsidP="004122DA">
      <w:pPr>
        <w:numPr>
          <w:ilvl w:val="1"/>
          <w:numId w:val="28"/>
        </w:numPr>
        <w:spacing w:after="0"/>
      </w:pPr>
      <w:r w:rsidRPr="000C0F0A">
        <w:t xml:space="preserve">Questions describing the U.S. as facing “severe constraints on fiscal policy” and sees the “delicate balancing act” phrase as </w:t>
      </w:r>
      <w:r w:rsidRPr="000C0F0A">
        <w:rPr>
          <w:b/>
          <w:bCs/>
        </w:rPr>
        <w:t>overstated</w:t>
      </w:r>
      <w:r w:rsidRPr="000C0F0A">
        <w:t xml:space="preserve">. </w:t>
      </w:r>
    </w:p>
    <w:p w14:paraId="29B73E45" w14:textId="77777777" w:rsidR="000C0F0A" w:rsidRPr="000C0F0A" w:rsidRDefault="000C0F0A" w:rsidP="004122DA">
      <w:pPr>
        <w:numPr>
          <w:ilvl w:val="1"/>
          <w:numId w:val="28"/>
        </w:numPr>
        <w:spacing w:after="0"/>
      </w:pPr>
      <w:r w:rsidRPr="000C0F0A">
        <w:t xml:space="preserve">Finds the explanation of the crisis impact on imbalances (via nominal GDP changes) unconvincing. </w:t>
      </w:r>
    </w:p>
    <w:p w14:paraId="2BEF3BA8" w14:textId="77777777" w:rsidR="000C0F0A" w:rsidRPr="000C0F0A" w:rsidRDefault="000C0F0A" w:rsidP="004122DA">
      <w:pPr>
        <w:numPr>
          <w:ilvl w:val="0"/>
          <w:numId w:val="28"/>
        </w:numPr>
        <w:spacing w:after="0"/>
      </w:pPr>
      <w:r w:rsidRPr="000C0F0A">
        <w:t xml:space="preserve">Both sets of referees suggest that the </w:t>
      </w:r>
      <w:r w:rsidRPr="000C0F0A">
        <w:rPr>
          <w:b/>
          <w:bCs/>
        </w:rPr>
        <w:t>policy/sustainability implications should be toned down or more carefully qualified</w:t>
      </w:r>
      <w:r w:rsidRPr="000C0F0A">
        <w:t xml:space="preserve">, and that the introduction/conclusion should more modestly reflect what the econometric evidence can </w:t>
      </w:r>
      <w:proofErr w:type="gramStart"/>
      <w:r w:rsidRPr="000C0F0A">
        <w:t>actually support</w:t>
      </w:r>
      <w:proofErr w:type="gramEnd"/>
      <w:r w:rsidRPr="000C0F0A">
        <w:t xml:space="preserve">. </w:t>
      </w:r>
    </w:p>
    <w:p w14:paraId="33811DB7" w14:textId="77777777" w:rsidR="000C0F0A" w:rsidRPr="000C0F0A" w:rsidRDefault="000C0F0A" w:rsidP="000C0F0A">
      <w:r w:rsidRPr="000C0F0A">
        <w:pict w14:anchorId="52609F75">
          <v:rect id="_x0000_i1045" style="width:0;height:1.5pt" o:hralign="center" o:hrstd="t" o:hr="t" fillcolor="#a0a0a0" stroked="f"/>
        </w:pict>
      </w:r>
    </w:p>
    <w:p w14:paraId="7B5DBDB5" w14:textId="77777777" w:rsidR="000C0F0A" w:rsidRPr="000C0F0A" w:rsidRDefault="000C0F0A" w:rsidP="00233324">
      <w:pPr>
        <w:pStyle w:val="Heading1"/>
      </w:pPr>
      <w:r w:rsidRPr="000C0F0A">
        <w:t>8. Overall Alignment vs. Tension</w:t>
      </w:r>
    </w:p>
    <w:p w14:paraId="5643CCDA" w14:textId="77777777" w:rsidR="000C0F0A" w:rsidRPr="000C0F0A" w:rsidRDefault="000C0F0A" w:rsidP="000C0F0A">
      <w:r w:rsidRPr="000C0F0A">
        <w:t>Putting it all together:</w:t>
      </w:r>
    </w:p>
    <w:p w14:paraId="0216AA08" w14:textId="77777777" w:rsidR="000C0F0A" w:rsidRPr="000C0F0A" w:rsidRDefault="000C0F0A" w:rsidP="004122DA">
      <w:pPr>
        <w:tabs>
          <w:tab w:val="num" w:pos="720"/>
        </w:tabs>
        <w:spacing w:after="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0C0F0A">
        <w:rPr>
          <w:rFonts w:asciiTheme="majorHAnsi" w:eastAsiaTheme="majorEastAsia" w:hAnsiTheme="majorHAnsi" w:cstheme="majorBidi"/>
          <w:b/>
          <w:bCs/>
          <w:sz w:val="28"/>
          <w:szCs w:val="28"/>
        </w:rPr>
        <w:t>Aligned with referees:</w:t>
      </w:r>
    </w:p>
    <w:p w14:paraId="3A85986C" w14:textId="77777777" w:rsidR="000C0F0A" w:rsidRDefault="000C0F0A" w:rsidP="004122DA">
      <w:pPr>
        <w:numPr>
          <w:ilvl w:val="0"/>
          <w:numId w:val="29"/>
        </w:numPr>
        <w:spacing w:after="0"/>
      </w:pPr>
      <w:r w:rsidRPr="000C0F0A">
        <w:t xml:space="preserve">The paper’s descriptive findings on </w:t>
      </w:r>
      <w:r w:rsidRPr="000C0F0A">
        <w:rPr>
          <w:b/>
          <w:bCs/>
        </w:rPr>
        <w:t>structural breaks, CA persistence, and roles of trade and financial openness</w:t>
      </w:r>
      <w:r w:rsidRPr="000C0F0A">
        <w:t xml:space="preserve"> are largely seen as consistent with existing literature—and often appreciated as interesting and well executed. </w:t>
      </w:r>
    </w:p>
    <w:p w14:paraId="56C6DAF1" w14:textId="77777777" w:rsidR="004122DA" w:rsidRPr="000C0F0A" w:rsidRDefault="004122DA" w:rsidP="004122DA">
      <w:pPr>
        <w:tabs>
          <w:tab w:val="num" w:pos="720"/>
        </w:tabs>
        <w:spacing w:after="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p w14:paraId="0C0FD2A0" w14:textId="77777777" w:rsidR="000C0F0A" w:rsidRPr="000C0F0A" w:rsidRDefault="000C0F0A" w:rsidP="004122DA">
      <w:pPr>
        <w:tabs>
          <w:tab w:val="num" w:pos="720"/>
        </w:tabs>
        <w:spacing w:after="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0C0F0A">
        <w:rPr>
          <w:rFonts w:asciiTheme="majorHAnsi" w:eastAsiaTheme="majorEastAsia" w:hAnsiTheme="majorHAnsi" w:cstheme="majorBidi"/>
          <w:b/>
          <w:bCs/>
          <w:sz w:val="28"/>
          <w:szCs w:val="28"/>
        </w:rPr>
        <w:t>Main points of tension:</w:t>
      </w:r>
    </w:p>
    <w:p w14:paraId="560FFF8B" w14:textId="77777777" w:rsidR="000C0F0A" w:rsidRPr="000C0F0A" w:rsidRDefault="000C0F0A" w:rsidP="004122DA">
      <w:pPr>
        <w:numPr>
          <w:ilvl w:val="0"/>
          <w:numId w:val="31"/>
        </w:numPr>
        <w:spacing w:after="0"/>
      </w:pPr>
      <w:r w:rsidRPr="000C0F0A">
        <w:rPr>
          <w:b/>
          <w:bCs/>
        </w:rPr>
        <w:t>Conceptual link between stationarity and sustainability/LRBC</w:t>
      </w:r>
      <w:r w:rsidRPr="000C0F0A">
        <w:t xml:space="preserve"> is stronger </w:t>
      </w:r>
      <w:proofErr w:type="gramStart"/>
      <w:r w:rsidRPr="000C0F0A">
        <w:t>in</w:t>
      </w:r>
      <w:proofErr w:type="gramEnd"/>
      <w:r w:rsidRPr="000C0F0A">
        <w:t xml:space="preserve"> the paper than referees think is defensible.</w:t>
      </w:r>
    </w:p>
    <w:p w14:paraId="3ECB52E9" w14:textId="77777777" w:rsidR="000C0F0A" w:rsidRPr="000C0F0A" w:rsidRDefault="000C0F0A" w:rsidP="004122DA">
      <w:pPr>
        <w:numPr>
          <w:ilvl w:val="0"/>
          <w:numId w:val="31"/>
        </w:numPr>
        <w:spacing w:after="0"/>
      </w:pPr>
      <w:r w:rsidRPr="000C0F0A">
        <w:rPr>
          <w:b/>
          <w:bCs/>
        </w:rPr>
        <w:t>MS-ADF regime identification</w:t>
      </w:r>
      <w:r w:rsidRPr="000C0F0A">
        <w:t xml:space="preserve"> is central to the contribution, but referees question whether the resulting regimes and breaks are economically meaningful, and whether the improved rejection rate really “solves” anything.</w:t>
      </w:r>
    </w:p>
    <w:p w14:paraId="19387F33" w14:textId="77777777" w:rsidR="000C0F0A" w:rsidRPr="000C0F0A" w:rsidRDefault="000C0F0A" w:rsidP="004122DA">
      <w:pPr>
        <w:numPr>
          <w:ilvl w:val="0"/>
          <w:numId w:val="31"/>
        </w:numPr>
        <w:spacing w:after="0"/>
      </w:pPr>
      <w:r w:rsidRPr="000C0F0A">
        <w:rPr>
          <w:b/>
          <w:bCs/>
        </w:rPr>
        <w:t>Determinants section</w:t>
      </w:r>
      <w:r w:rsidRPr="000C0F0A">
        <w:t xml:space="preserve"> is empirically ambitious but perceived as </w:t>
      </w:r>
      <w:r w:rsidRPr="000C0F0A">
        <w:rPr>
          <w:b/>
          <w:bCs/>
        </w:rPr>
        <w:t>too broad, under-theorized, and somewhat internally inconsistent.</w:t>
      </w:r>
    </w:p>
    <w:p w14:paraId="2774971A" w14:textId="77777777" w:rsidR="000C0F0A" w:rsidRPr="000C0F0A" w:rsidRDefault="000C0F0A" w:rsidP="004122DA">
      <w:pPr>
        <w:numPr>
          <w:ilvl w:val="0"/>
          <w:numId w:val="31"/>
        </w:numPr>
        <w:spacing w:after="0"/>
      </w:pPr>
      <w:r w:rsidRPr="000C0F0A">
        <w:t xml:space="preserve">The </w:t>
      </w:r>
      <w:r w:rsidRPr="000C0F0A">
        <w:rPr>
          <w:b/>
          <w:bCs/>
        </w:rPr>
        <w:t>exchange-rate-regime result</w:t>
      </w:r>
      <w:r w:rsidRPr="000C0F0A">
        <w:t xml:space="preserve"> is recognized as the key novelty but not yet convincingly reconciled with earlier work or fully supported by robustness and theory.</w:t>
      </w:r>
    </w:p>
    <w:p w14:paraId="3ED5968A" w14:textId="77777777" w:rsidR="000C0F0A" w:rsidRPr="000C0F0A" w:rsidRDefault="000C0F0A" w:rsidP="004122DA">
      <w:pPr>
        <w:numPr>
          <w:ilvl w:val="0"/>
          <w:numId w:val="31"/>
        </w:numPr>
        <w:spacing w:after="0"/>
      </w:pPr>
      <w:r w:rsidRPr="000C0F0A">
        <w:t xml:space="preserve">The </w:t>
      </w:r>
      <w:r w:rsidRPr="000C0F0A">
        <w:rPr>
          <w:b/>
          <w:bCs/>
        </w:rPr>
        <w:t>policy and sustainability rhetoric</w:t>
      </w:r>
      <w:r w:rsidRPr="000C0F0A">
        <w:t xml:space="preserve"> (global rebalancing, red signals, constraints) is seen as stronger than what the empirical design can sustain.</w:t>
      </w:r>
    </w:p>
    <w:p w14:paraId="729F7405" w14:textId="49E84E7B" w:rsidR="00BA39E4" w:rsidRDefault="00BA39E4">
      <w:r>
        <w:br w:type="page"/>
      </w:r>
    </w:p>
    <w:p w14:paraId="4287C3C8" w14:textId="77777777" w:rsidR="00BA39E4" w:rsidRPr="00BA39E4" w:rsidRDefault="00BA39E4" w:rsidP="00233324">
      <w:pPr>
        <w:pStyle w:val="Heading1"/>
      </w:pPr>
      <w:r w:rsidRPr="00BA39E4">
        <w:lastRenderedPageBreak/>
        <w:t>Reframing Strategy to Improve the Paper’s Publishability</w:t>
      </w:r>
    </w:p>
    <w:p w14:paraId="6D6EAE97" w14:textId="7777777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1. Shift the Core Contribution Away From “Sustainability” Toward “Dynamics”</w:t>
      </w:r>
    </w:p>
    <w:p w14:paraId="4A2CB604" w14:textId="7777777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Why?</w:t>
      </w:r>
    </w:p>
    <w:p w14:paraId="304F854E" w14:textId="77777777" w:rsidR="00BA39E4" w:rsidRPr="00BA39E4" w:rsidRDefault="00BA39E4" w:rsidP="00BA39E4">
      <w:pPr>
        <w:spacing w:after="0"/>
      </w:pPr>
      <w:r w:rsidRPr="00BA39E4">
        <w:t>Across both JIE and JIMF reviews, the most consistent criticism was:</w:t>
      </w:r>
    </w:p>
    <w:p w14:paraId="75B9D09B" w14:textId="77777777" w:rsidR="00BA39E4" w:rsidRPr="00BA39E4" w:rsidRDefault="00BA39E4" w:rsidP="00BA39E4">
      <w:pPr>
        <w:numPr>
          <w:ilvl w:val="0"/>
          <w:numId w:val="32"/>
        </w:numPr>
        <w:spacing w:after="0"/>
      </w:pPr>
      <w:r w:rsidRPr="00BA39E4">
        <w:rPr>
          <w:i/>
          <w:iCs/>
        </w:rPr>
        <w:t>“Stationarity of the current account does not imply sustainability.”</w:t>
      </w:r>
    </w:p>
    <w:p w14:paraId="7484D140" w14:textId="77777777" w:rsidR="00BA39E4" w:rsidRPr="00BA39E4" w:rsidRDefault="00BA39E4" w:rsidP="00BA39E4">
      <w:pPr>
        <w:numPr>
          <w:ilvl w:val="0"/>
          <w:numId w:val="32"/>
        </w:numPr>
        <w:spacing w:after="0"/>
      </w:pPr>
      <w:r w:rsidRPr="00BA39E4">
        <w:rPr>
          <w:i/>
          <w:iCs/>
        </w:rPr>
        <w:t>“The conceptual link to LRBC is overstated.”</w:t>
      </w:r>
    </w:p>
    <w:p w14:paraId="5E88D980" w14:textId="77777777" w:rsidR="00BA39E4" w:rsidRDefault="00BA39E4" w:rsidP="00BA39E4">
      <w:pPr>
        <w:spacing w:after="0"/>
        <w:rPr>
          <w:b/>
          <w:bCs/>
        </w:rPr>
      </w:pPr>
    </w:p>
    <w:p w14:paraId="265C89B3" w14:textId="224224C2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Reframe as:</w:t>
      </w:r>
    </w:p>
    <w:p w14:paraId="471B5ED6" w14:textId="77777777" w:rsidR="00BA39E4" w:rsidRPr="00BA39E4" w:rsidRDefault="00BA39E4" w:rsidP="00BA39E4">
      <w:pPr>
        <w:spacing w:after="0"/>
      </w:pPr>
      <w:r w:rsidRPr="00BA39E4">
        <w:rPr>
          <w:b/>
          <w:bCs/>
        </w:rPr>
        <w:t>“An empirical characterization of the dynamic adjustment of current account balances in the presence of structural breaks, using nonlinear time-series methods.”</w:t>
      </w:r>
    </w:p>
    <w:p w14:paraId="0012042C" w14:textId="77777777" w:rsidR="00BA39E4" w:rsidRPr="00BA39E4" w:rsidRDefault="00BA39E4" w:rsidP="00BA39E4">
      <w:pPr>
        <w:spacing w:after="0"/>
      </w:pPr>
      <w:r w:rsidRPr="00BA39E4">
        <w:t>This framing:</w:t>
      </w:r>
    </w:p>
    <w:p w14:paraId="4E36C9F3" w14:textId="77777777" w:rsidR="00BA39E4" w:rsidRPr="00BA39E4" w:rsidRDefault="00BA39E4" w:rsidP="00BA39E4">
      <w:pPr>
        <w:numPr>
          <w:ilvl w:val="0"/>
          <w:numId w:val="33"/>
        </w:numPr>
        <w:spacing w:after="0"/>
      </w:pPr>
      <w:r w:rsidRPr="00BA39E4">
        <w:t>Removes the sustainability overreach.</w:t>
      </w:r>
    </w:p>
    <w:p w14:paraId="26EE5170" w14:textId="77777777" w:rsidR="00BA39E4" w:rsidRPr="00BA39E4" w:rsidRDefault="00BA39E4" w:rsidP="00BA39E4">
      <w:pPr>
        <w:numPr>
          <w:ilvl w:val="0"/>
          <w:numId w:val="33"/>
        </w:numPr>
        <w:spacing w:after="0"/>
      </w:pPr>
      <w:r w:rsidRPr="00BA39E4">
        <w:t xml:space="preserve">Places your paper firmly within international macro </w:t>
      </w:r>
      <w:r w:rsidRPr="00BA39E4">
        <w:rPr>
          <w:b/>
          <w:bCs/>
        </w:rPr>
        <w:t>measurement and dynamics</w:t>
      </w:r>
      <w:r w:rsidRPr="00BA39E4">
        <w:t>, where MS approaches are valued.</w:t>
      </w:r>
    </w:p>
    <w:p w14:paraId="1FB6F4DB" w14:textId="77777777" w:rsidR="00BA39E4" w:rsidRPr="00BA39E4" w:rsidRDefault="00BA39E4" w:rsidP="00BA39E4">
      <w:pPr>
        <w:numPr>
          <w:ilvl w:val="0"/>
          <w:numId w:val="33"/>
        </w:numPr>
        <w:spacing w:after="0"/>
      </w:pPr>
      <w:r w:rsidRPr="00BA39E4">
        <w:t>Emphasizes what the referees consistently liked:</w:t>
      </w:r>
      <w:r w:rsidRPr="00BA39E4">
        <w:br/>
      </w:r>
      <w:r w:rsidRPr="00BA39E4">
        <w:rPr>
          <w:b/>
          <w:bCs/>
        </w:rPr>
        <w:t>the documentation of structural breaks and persistence patterns.</w:t>
      </w:r>
    </w:p>
    <w:p w14:paraId="48DC2DC1" w14:textId="77777777" w:rsidR="00BA39E4" w:rsidRPr="00BA39E4" w:rsidRDefault="00BA39E4" w:rsidP="00BA39E4">
      <w:pPr>
        <w:spacing w:after="0"/>
      </w:pPr>
      <w:r w:rsidRPr="00BA39E4">
        <w:pict w14:anchorId="70FACB8B">
          <v:rect id="_x0000_i1101" style="width:0;height:1.5pt" o:hralign="center" o:hrstd="t" o:hr="t" fillcolor="#a0a0a0" stroked="f"/>
        </w:pict>
      </w:r>
    </w:p>
    <w:p w14:paraId="41D427CB" w14:textId="7777777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2. Reposition the Markov-Switching Contribution</w:t>
      </w:r>
    </w:p>
    <w:p w14:paraId="0307790E" w14:textId="7777777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Original framing:</w:t>
      </w:r>
    </w:p>
    <w:p w14:paraId="50BBCD8D" w14:textId="77777777" w:rsidR="00BA39E4" w:rsidRPr="00BA39E4" w:rsidRDefault="00BA39E4" w:rsidP="00BA39E4">
      <w:pPr>
        <w:spacing w:after="0"/>
      </w:pPr>
      <w:r w:rsidRPr="00BA39E4">
        <w:t xml:space="preserve">MS-ADF tests are introduced as a solution to the unit-root problem and </w:t>
      </w:r>
      <w:proofErr w:type="gramStart"/>
      <w:r w:rsidRPr="00BA39E4">
        <w:t>as a way to</w:t>
      </w:r>
      <w:proofErr w:type="gramEnd"/>
      <w:r w:rsidRPr="00BA39E4">
        <w:t xml:space="preserve"> diagnose sustainability.</w:t>
      </w:r>
    </w:p>
    <w:p w14:paraId="6396561B" w14:textId="77777777" w:rsidR="00BA39E4" w:rsidRDefault="00BA39E4" w:rsidP="00BA39E4">
      <w:pPr>
        <w:spacing w:after="0"/>
        <w:rPr>
          <w:b/>
          <w:bCs/>
        </w:rPr>
      </w:pPr>
    </w:p>
    <w:p w14:paraId="4FC96E4B" w14:textId="430CF81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Referees’ concerns:</w:t>
      </w:r>
    </w:p>
    <w:p w14:paraId="7D991C71" w14:textId="77777777" w:rsidR="00BA39E4" w:rsidRPr="00BA39E4" w:rsidRDefault="00BA39E4" w:rsidP="00BA39E4">
      <w:pPr>
        <w:numPr>
          <w:ilvl w:val="0"/>
          <w:numId w:val="34"/>
        </w:numPr>
        <w:spacing w:after="0"/>
      </w:pPr>
      <w:r w:rsidRPr="00BA39E4">
        <w:t>Mechanically improved rejection rates do not imply deeper understanding.</w:t>
      </w:r>
    </w:p>
    <w:p w14:paraId="75E51C26" w14:textId="77777777" w:rsidR="00BA39E4" w:rsidRPr="00BA39E4" w:rsidRDefault="00BA39E4" w:rsidP="00BA39E4">
      <w:pPr>
        <w:numPr>
          <w:ilvl w:val="0"/>
          <w:numId w:val="34"/>
        </w:numPr>
        <w:spacing w:after="0"/>
      </w:pPr>
      <w:r w:rsidRPr="00BA39E4">
        <w:t>Identified breaks must be meaningful economically.</w:t>
      </w:r>
    </w:p>
    <w:p w14:paraId="4E7A5EB0" w14:textId="77777777" w:rsidR="00BA39E4" w:rsidRDefault="00BA39E4" w:rsidP="00BA39E4">
      <w:pPr>
        <w:spacing w:after="0"/>
        <w:rPr>
          <w:b/>
          <w:bCs/>
        </w:rPr>
      </w:pPr>
    </w:p>
    <w:p w14:paraId="7175DCCE" w14:textId="19723C2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Reframed value proposition:</w:t>
      </w:r>
    </w:p>
    <w:p w14:paraId="51A4C68B" w14:textId="77777777" w:rsidR="00BA39E4" w:rsidRPr="00BA39E4" w:rsidRDefault="00BA39E4" w:rsidP="00BA39E4">
      <w:pPr>
        <w:spacing w:after="0"/>
      </w:pPr>
      <w:r w:rsidRPr="00BA39E4">
        <w:rPr>
          <w:b/>
          <w:bCs/>
        </w:rPr>
        <w:t xml:space="preserve">“This paper contributes a nonlinear, regime-dependent approach to understanding </w:t>
      </w:r>
      <w:r w:rsidRPr="00BA39E4">
        <w:rPr>
          <w:b/>
          <w:bCs/>
          <w:i/>
          <w:iCs/>
        </w:rPr>
        <w:t>how</w:t>
      </w:r>
      <w:r w:rsidRPr="00BA39E4">
        <w:rPr>
          <w:b/>
          <w:bCs/>
        </w:rPr>
        <w:t xml:space="preserve"> and </w:t>
      </w:r>
      <w:r w:rsidRPr="00BA39E4">
        <w:rPr>
          <w:b/>
          <w:bCs/>
          <w:i/>
          <w:iCs/>
        </w:rPr>
        <w:t>when</w:t>
      </w:r>
      <w:r w:rsidRPr="00BA39E4">
        <w:rPr>
          <w:b/>
          <w:bCs/>
        </w:rPr>
        <w:t xml:space="preserve"> current account adjustment accelerates or slows down, distinguishing persistent vs. mean-reverting phases.”</w:t>
      </w:r>
    </w:p>
    <w:p w14:paraId="39619824" w14:textId="77777777" w:rsidR="00BA39E4" w:rsidRPr="00BA39E4" w:rsidRDefault="00BA39E4" w:rsidP="00BA39E4">
      <w:pPr>
        <w:spacing w:after="0"/>
      </w:pPr>
      <w:r w:rsidRPr="00BA39E4">
        <w:t>In this framing:</w:t>
      </w:r>
    </w:p>
    <w:p w14:paraId="70166827" w14:textId="77777777" w:rsidR="00BA39E4" w:rsidRPr="00BA39E4" w:rsidRDefault="00BA39E4" w:rsidP="00BA39E4">
      <w:pPr>
        <w:numPr>
          <w:ilvl w:val="0"/>
          <w:numId w:val="35"/>
        </w:numPr>
        <w:spacing w:after="0"/>
      </w:pPr>
      <w:r w:rsidRPr="00BA39E4">
        <w:t>MS is not a “fix” for unit-root tests.</w:t>
      </w:r>
    </w:p>
    <w:p w14:paraId="26A6A086" w14:textId="77777777" w:rsidR="00BA39E4" w:rsidRPr="00BA39E4" w:rsidRDefault="00BA39E4" w:rsidP="00BA39E4">
      <w:pPr>
        <w:numPr>
          <w:ilvl w:val="0"/>
          <w:numId w:val="35"/>
        </w:numPr>
        <w:spacing w:after="0"/>
      </w:pPr>
      <w:r w:rsidRPr="00BA39E4">
        <w:t xml:space="preserve">MS is a </w:t>
      </w:r>
      <w:r w:rsidRPr="00BA39E4">
        <w:rPr>
          <w:b/>
          <w:bCs/>
        </w:rPr>
        <w:t>window into the evolution of adjustment behavior</w:t>
      </w:r>
      <w:r w:rsidRPr="00BA39E4">
        <w:t>, not a sustainability test.</w:t>
      </w:r>
    </w:p>
    <w:p w14:paraId="6168EE00" w14:textId="77777777" w:rsidR="00BA39E4" w:rsidRPr="00BA39E4" w:rsidRDefault="00BA39E4" w:rsidP="00BA39E4">
      <w:pPr>
        <w:numPr>
          <w:ilvl w:val="0"/>
          <w:numId w:val="35"/>
        </w:numPr>
        <w:spacing w:after="0"/>
      </w:pPr>
      <w:r w:rsidRPr="00BA39E4">
        <w:t xml:space="preserve">Your contribution becomes </w:t>
      </w:r>
      <w:r w:rsidRPr="00BA39E4">
        <w:rPr>
          <w:i/>
          <w:iCs/>
        </w:rPr>
        <w:t>descriptive and methodological</w:t>
      </w:r>
      <w:r w:rsidRPr="00BA39E4">
        <w:t xml:space="preserve">, not </w:t>
      </w:r>
      <w:r w:rsidRPr="00BA39E4">
        <w:rPr>
          <w:i/>
          <w:iCs/>
        </w:rPr>
        <w:t>normative</w:t>
      </w:r>
      <w:r w:rsidRPr="00BA39E4">
        <w:t>.</w:t>
      </w:r>
    </w:p>
    <w:p w14:paraId="117F4E1E" w14:textId="77777777" w:rsidR="00BA39E4" w:rsidRPr="00BA39E4" w:rsidRDefault="00BA39E4" w:rsidP="00BA39E4">
      <w:pPr>
        <w:spacing w:after="0"/>
      </w:pPr>
      <w:r w:rsidRPr="00BA39E4">
        <w:t>This aligns much better with:</w:t>
      </w:r>
    </w:p>
    <w:p w14:paraId="5BE49FC0" w14:textId="77777777" w:rsidR="00BA39E4" w:rsidRPr="00BA39E4" w:rsidRDefault="00BA39E4" w:rsidP="00BA39E4">
      <w:pPr>
        <w:numPr>
          <w:ilvl w:val="0"/>
          <w:numId w:val="36"/>
        </w:numPr>
        <w:spacing w:after="0"/>
      </w:pPr>
      <w:r w:rsidRPr="00BA39E4">
        <w:t>Studies on crisis-predictive dynamics</w:t>
      </w:r>
    </w:p>
    <w:p w14:paraId="6CD17432" w14:textId="77777777" w:rsidR="00BA39E4" w:rsidRPr="00BA39E4" w:rsidRDefault="00BA39E4" w:rsidP="00BA39E4">
      <w:pPr>
        <w:numPr>
          <w:ilvl w:val="0"/>
          <w:numId w:val="36"/>
        </w:numPr>
        <w:spacing w:after="0"/>
      </w:pPr>
      <w:r w:rsidRPr="00BA39E4">
        <w:t>Current account adjustment literature (Taylor 2002; Freund 2005; Lane &amp; Milesi-Ferretti)</w:t>
      </w:r>
    </w:p>
    <w:p w14:paraId="3A638E23" w14:textId="77777777" w:rsidR="00BA39E4" w:rsidRPr="00BA39E4" w:rsidRDefault="00BA39E4" w:rsidP="00BA39E4">
      <w:pPr>
        <w:numPr>
          <w:ilvl w:val="0"/>
          <w:numId w:val="36"/>
        </w:numPr>
        <w:spacing w:after="0"/>
      </w:pPr>
      <w:r w:rsidRPr="00BA39E4">
        <w:t>Nonlinear international macro time-series journals</w:t>
      </w:r>
    </w:p>
    <w:p w14:paraId="1850A4D1" w14:textId="77777777" w:rsidR="00BA39E4" w:rsidRPr="00BA39E4" w:rsidRDefault="00BA39E4" w:rsidP="00BA39E4">
      <w:pPr>
        <w:spacing w:after="0"/>
      </w:pPr>
      <w:r w:rsidRPr="00BA39E4">
        <w:pict w14:anchorId="605F8D2E">
          <v:rect id="_x0000_i1102" style="width:0;height:1.5pt" o:hralign="center" o:hrstd="t" o:hr="t" fillcolor="#a0a0a0" stroked="f"/>
        </w:pict>
      </w:r>
    </w:p>
    <w:p w14:paraId="68CFA011" w14:textId="7777777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3. Recast the Exchange Rate Regime Result as the Central, Carefully Explained Contribution</w:t>
      </w:r>
    </w:p>
    <w:p w14:paraId="003CAA96" w14:textId="7777777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lastRenderedPageBreak/>
        <w:t>Why?</w:t>
      </w:r>
    </w:p>
    <w:p w14:paraId="3268DA04" w14:textId="77777777" w:rsidR="00BA39E4" w:rsidRPr="00BA39E4" w:rsidRDefault="00BA39E4" w:rsidP="00BA39E4">
      <w:pPr>
        <w:spacing w:after="0"/>
      </w:pPr>
      <w:r w:rsidRPr="00BA39E4">
        <w:t xml:space="preserve">Referees agree this is your most </w:t>
      </w:r>
      <w:r w:rsidRPr="00BA39E4">
        <w:rPr>
          <w:b/>
          <w:bCs/>
        </w:rPr>
        <w:t>novel</w:t>
      </w:r>
      <w:r w:rsidRPr="00BA39E4">
        <w:t xml:space="preserve"> finding but found it under-explained.</w:t>
      </w:r>
    </w:p>
    <w:p w14:paraId="618E1025" w14:textId="77777777" w:rsidR="00BA39E4" w:rsidRDefault="00BA39E4" w:rsidP="00BA39E4">
      <w:pPr>
        <w:spacing w:after="0"/>
        <w:rPr>
          <w:b/>
          <w:bCs/>
        </w:rPr>
      </w:pPr>
    </w:p>
    <w:p w14:paraId="7B8094A8" w14:textId="478F5A75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Reframe:</w:t>
      </w:r>
    </w:p>
    <w:p w14:paraId="0ED3EB05" w14:textId="77777777" w:rsidR="00BA39E4" w:rsidRPr="00BA39E4" w:rsidRDefault="00BA39E4" w:rsidP="00BA39E4">
      <w:pPr>
        <w:spacing w:after="0"/>
      </w:pPr>
      <w:r w:rsidRPr="00BA39E4">
        <w:rPr>
          <w:b/>
          <w:bCs/>
        </w:rPr>
        <w:t xml:space="preserve">“Fixed exchange rate regimes in emerging markets are associated with more persistent current account imbalances </w:t>
      </w:r>
      <w:r w:rsidRPr="00BA39E4">
        <w:rPr>
          <w:b/>
          <w:bCs/>
          <w:i/>
          <w:iCs/>
        </w:rPr>
        <w:t>because adjustment mechanisms operate differently depending on regime flexibility</w:t>
      </w:r>
      <w:r w:rsidRPr="00BA39E4">
        <w:rPr>
          <w:b/>
          <w:bCs/>
        </w:rPr>
        <w:t>.”</w:t>
      </w:r>
    </w:p>
    <w:p w14:paraId="72EBC733" w14:textId="77777777" w:rsidR="00BA39E4" w:rsidRPr="00BA39E4" w:rsidRDefault="00BA39E4" w:rsidP="00BA39E4">
      <w:pPr>
        <w:spacing w:after="0"/>
      </w:pPr>
      <w:r w:rsidRPr="00BA39E4">
        <w:t>Then support this reframing with:</w:t>
      </w:r>
    </w:p>
    <w:p w14:paraId="5A45EC0F" w14:textId="77777777" w:rsidR="00BA39E4" w:rsidRPr="00BA39E4" w:rsidRDefault="00BA39E4" w:rsidP="00BA39E4">
      <w:pPr>
        <w:numPr>
          <w:ilvl w:val="0"/>
          <w:numId w:val="37"/>
        </w:numPr>
        <w:spacing w:after="0"/>
      </w:pPr>
      <w:r w:rsidRPr="00BA39E4">
        <w:t>Theoretical intuition:</w:t>
      </w:r>
      <w:r w:rsidRPr="00BA39E4">
        <w:br/>
        <w:t>Fixed regimes constrain expenditure-switching → slower CA adjustment → higher persistence.</w:t>
      </w:r>
    </w:p>
    <w:p w14:paraId="477DD118" w14:textId="77777777" w:rsidR="00BA39E4" w:rsidRPr="00BA39E4" w:rsidRDefault="00BA39E4" w:rsidP="00BA39E4">
      <w:pPr>
        <w:numPr>
          <w:ilvl w:val="0"/>
          <w:numId w:val="37"/>
        </w:numPr>
        <w:spacing w:after="0"/>
      </w:pPr>
      <w:r w:rsidRPr="00BA39E4">
        <w:t>Literature links:</w:t>
      </w:r>
      <w:r w:rsidRPr="00BA39E4">
        <w:br/>
        <w:t>Recent research on ER rigidity, capital flows, and external adjustment.</w:t>
      </w:r>
    </w:p>
    <w:p w14:paraId="40CB50CC" w14:textId="77777777" w:rsidR="00BA39E4" w:rsidRPr="00BA39E4" w:rsidRDefault="00BA39E4" w:rsidP="00BA39E4">
      <w:pPr>
        <w:numPr>
          <w:ilvl w:val="0"/>
          <w:numId w:val="37"/>
        </w:numPr>
        <w:spacing w:after="0"/>
      </w:pPr>
      <w:r w:rsidRPr="00BA39E4">
        <w:t>A robustness roadmap:</w:t>
      </w:r>
      <w:r w:rsidRPr="00BA39E4">
        <w:br/>
        <w:t>Include alternative regime classifications (e.g., coarse vs. fine Chinn–Ito), regional sensitivity checks, annual-data MS robustness.</w:t>
      </w:r>
    </w:p>
    <w:p w14:paraId="19A85418" w14:textId="77777777" w:rsidR="00BA39E4" w:rsidRDefault="00BA39E4" w:rsidP="00BA39E4">
      <w:pPr>
        <w:spacing w:after="0"/>
      </w:pPr>
    </w:p>
    <w:p w14:paraId="52E77C19" w14:textId="220E4CE3" w:rsidR="00BA39E4" w:rsidRPr="00BA39E4" w:rsidRDefault="00BA39E4" w:rsidP="00BA39E4">
      <w:pPr>
        <w:spacing w:after="0"/>
      </w:pPr>
      <w:r w:rsidRPr="00BA39E4">
        <w:t xml:space="preserve">This turns your “disputed finding” into a </w:t>
      </w:r>
      <w:r w:rsidRPr="00BA39E4">
        <w:rPr>
          <w:b/>
          <w:bCs/>
        </w:rPr>
        <w:t>theoretically grounded hypothesis</w:t>
      </w:r>
      <w:r w:rsidRPr="00BA39E4">
        <w:t xml:space="preserve"> supported by your nonlinear method.</w:t>
      </w:r>
    </w:p>
    <w:p w14:paraId="1590AAB2" w14:textId="77777777" w:rsidR="00BA39E4" w:rsidRPr="00BA39E4" w:rsidRDefault="00BA39E4" w:rsidP="00BA39E4">
      <w:pPr>
        <w:spacing w:after="0"/>
      </w:pPr>
      <w:r w:rsidRPr="00BA39E4">
        <w:pict w14:anchorId="4CB7F6F3">
          <v:rect id="_x0000_i1103" style="width:0;height:1.5pt" o:hralign="center" o:hrstd="t" o:hr="t" fillcolor="#a0a0a0" stroked="f"/>
        </w:pict>
      </w:r>
    </w:p>
    <w:p w14:paraId="69F11972" w14:textId="7777777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4. Narrow and Strengthen Section 4 (Determinants)</w:t>
      </w:r>
    </w:p>
    <w:p w14:paraId="616A1FC0" w14:textId="7777777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Original problem:</w:t>
      </w:r>
    </w:p>
    <w:p w14:paraId="3F50F3D3" w14:textId="77777777" w:rsidR="00BA39E4" w:rsidRPr="00BA39E4" w:rsidRDefault="00BA39E4" w:rsidP="00BA39E4">
      <w:pPr>
        <w:spacing w:after="0"/>
      </w:pPr>
      <w:r w:rsidRPr="00BA39E4">
        <w:t>Referees called it “kitchen-sink” and under-theorized.</w:t>
      </w:r>
    </w:p>
    <w:p w14:paraId="735335E0" w14:textId="77777777" w:rsidR="00BA39E4" w:rsidRDefault="00BA39E4" w:rsidP="00BA39E4">
      <w:pPr>
        <w:spacing w:after="0"/>
        <w:rPr>
          <w:b/>
          <w:bCs/>
        </w:rPr>
      </w:pPr>
    </w:p>
    <w:p w14:paraId="1FA6AEC9" w14:textId="69AED5F6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Reframe as:</w:t>
      </w:r>
    </w:p>
    <w:p w14:paraId="588C1349" w14:textId="77777777" w:rsidR="00BA39E4" w:rsidRPr="00BA39E4" w:rsidRDefault="00BA39E4" w:rsidP="00BA39E4">
      <w:pPr>
        <w:spacing w:after="0"/>
      </w:pPr>
      <w:r w:rsidRPr="00BA39E4">
        <w:rPr>
          <w:b/>
          <w:bCs/>
        </w:rPr>
        <w:t>(a) One central hypothesis (exchange rate regime),</w:t>
      </w:r>
      <w:r w:rsidRPr="00BA39E4">
        <w:br/>
        <w:t>with</w:t>
      </w:r>
      <w:r w:rsidRPr="00BA39E4">
        <w:br/>
      </w:r>
      <w:r w:rsidRPr="00BA39E4">
        <w:rPr>
          <w:b/>
          <w:bCs/>
        </w:rPr>
        <w:t>(b) A pruned set of theoretically motivated controls</w:t>
      </w:r>
      <w:r w:rsidRPr="00BA39E4">
        <w:t>, such as:</w:t>
      </w:r>
    </w:p>
    <w:p w14:paraId="10CCAF30" w14:textId="77777777" w:rsidR="00BA39E4" w:rsidRPr="00BA39E4" w:rsidRDefault="00BA39E4" w:rsidP="00BA39E4">
      <w:pPr>
        <w:numPr>
          <w:ilvl w:val="0"/>
          <w:numId w:val="38"/>
        </w:numPr>
        <w:spacing w:after="0"/>
      </w:pPr>
      <w:r w:rsidRPr="00BA39E4">
        <w:t>trade openness</w:t>
      </w:r>
    </w:p>
    <w:p w14:paraId="17698BD9" w14:textId="77777777" w:rsidR="00BA39E4" w:rsidRPr="00BA39E4" w:rsidRDefault="00BA39E4" w:rsidP="00BA39E4">
      <w:pPr>
        <w:numPr>
          <w:ilvl w:val="0"/>
          <w:numId w:val="38"/>
        </w:numPr>
        <w:spacing w:after="0"/>
      </w:pPr>
      <w:r w:rsidRPr="00BA39E4">
        <w:t>financial openness</w:t>
      </w:r>
    </w:p>
    <w:p w14:paraId="4726BB47" w14:textId="77777777" w:rsidR="00BA39E4" w:rsidRPr="00BA39E4" w:rsidRDefault="00BA39E4" w:rsidP="00BA39E4">
      <w:pPr>
        <w:numPr>
          <w:ilvl w:val="0"/>
          <w:numId w:val="38"/>
        </w:numPr>
        <w:spacing w:after="0"/>
      </w:pPr>
      <w:r w:rsidRPr="00BA39E4">
        <w:t>NFA position</w:t>
      </w:r>
    </w:p>
    <w:p w14:paraId="33EB7C85" w14:textId="77777777" w:rsidR="00BA39E4" w:rsidRPr="00BA39E4" w:rsidRDefault="00BA39E4" w:rsidP="00BA39E4">
      <w:pPr>
        <w:numPr>
          <w:ilvl w:val="0"/>
          <w:numId w:val="38"/>
        </w:numPr>
        <w:spacing w:after="0"/>
      </w:pPr>
      <w:r w:rsidRPr="00BA39E4">
        <w:t>crisis indicators</w:t>
      </w:r>
    </w:p>
    <w:p w14:paraId="6C14B91B" w14:textId="7777777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What to remove or de-emphasize:</w:t>
      </w:r>
    </w:p>
    <w:p w14:paraId="720E22E3" w14:textId="77777777" w:rsidR="00BA39E4" w:rsidRPr="00BA39E4" w:rsidRDefault="00BA39E4" w:rsidP="00BA39E4">
      <w:pPr>
        <w:numPr>
          <w:ilvl w:val="0"/>
          <w:numId w:val="39"/>
        </w:numPr>
        <w:spacing w:after="0"/>
      </w:pPr>
      <w:r w:rsidRPr="00BA39E4">
        <w:t>Variables with ambiguous or reversed signs across models</w:t>
      </w:r>
    </w:p>
    <w:p w14:paraId="235D55D4" w14:textId="77777777" w:rsidR="00BA39E4" w:rsidRPr="00BA39E4" w:rsidRDefault="00BA39E4" w:rsidP="00BA39E4">
      <w:pPr>
        <w:numPr>
          <w:ilvl w:val="0"/>
          <w:numId w:val="39"/>
        </w:numPr>
        <w:spacing w:after="0"/>
      </w:pPr>
      <w:r w:rsidRPr="00BA39E4">
        <w:t>Variables whose inclusion isn’t clearly grounded in theory</w:t>
      </w:r>
    </w:p>
    <w:p w14:paraId="4EB26721" w14:textId="77777777" w:rsidR="00BA39E4" w:rsidRPr="00BA39E4" w:rsidRDefault="00BA39E4" w:rsidP="00BA39E4">
      <w:pPr>
        <w:numPr>
          <w:ilvl w:val="0"/>
          <w:numId w:val="39"/>
        </w:numPr>
        <w:spacing w:after="0"/>
      </w:pPr>
      <w:r w:rsidRPr="00BA39E4">
        <w:t>Explanatory variables the referees said are questionable as exogenous (reserves, RER misalignment)</w:t>
      </w:r>
    </w:p>
    <w:p w14:paraId="2D2B30E9" w14:textId="77777777" w:rsidR="00BA39E4" w:rsidRPr="00BA39E4" w:rsidRDefault="00BA39E4" w:rsidP="00BA39E4">
      <w:pPr>
        <w:spacing w:after="0"/>
      </w:pPr>
      <w:r w:rsidRPr="00BA39E4">
        <w:t>This makes the model cleaner, more rigorous, and easier to defend.</w:t>
      </w:r>
    </w:p>
    <w:p w14:paraId="6D001EE7" w14:textId="77777777" w:rsidR="00BA39E4" w:rsidRPr="00BA39E4" w:rsidRDefault="00BA39E4" w:rsidP="00BA39E4">
      <w:pPr>
        <w:spacing w:after="0"/>
      </w:pPr>
      <w:r w:rsidRPr="00BA39E4">
        <w:pict w14:anchorId="4889AEEE">
          <v:rect id="_x0000_i1104" style="width:0;height:1.5pt" o:hralign="center" o:hrstd="t" o:hr="t" fillcolor="#a0a0a0" stroked="f"/>
        </w:pict>
      </w:r>
    </w:p>
    <w:p w14:paraId="38AE6FF7" w14:textId="7777777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5. Strengthen the Interpretation of “Local Non-Stationarity”</w:t>
      </w:r>
    </w:p>
    <w:p w14:paraId="68687C56" w14:textId="77777777" w:rsidR="00BA39E4" w:rsidRDefault="00BA39E4" w:rsidP="00BA39E4">
      <w:pPr>
        <w:spacing w:after="0"/>
        <w:rPr>
          <w:b/>
          <w:bCs/>
        </w:rPr>
      </w:pPr>
    </w:p>
    <w:p w14:paraId="170A2DE0" w14:textId="5A46C7B6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Referee concern:</w:t>
      </w:r>
    </w:p>
    <w:p w14:paraId="7C8EA75D" w14:textId="77777777" w:rsidR="00BA39E4" w:rsidRPr="00BA39E4" w:rsidRDefault="00BA39E4" w:rsidP="00BA39E4">
      <w:pPr>
        <w:spacing w:after="0"/>
      </w:pPr>
      <w:r w:rsidRPr="00BA39E4">
        <w:t>Non-stationarity ≠ red signal ≠ sustainability problem.</w:t>
      </w:r>
    </w:p>
    <w:p w14:paraId="6C625EDE" w14:textId="77777777" w:rsidR="00BA39E4" w:rsidRDefault="00BA39E4" w:rsidP="00BA39E4">
      <w:pPr>
        <w:spacing w:after="0"/>
        <w:rPr>
          <w:b/>
          <w:bCs/>
        </w:rPr>
      </w:pPr>
    </w:p>
    <w:p w14:paraId="07B79572" w14:textId="0B76ECAD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Reframe it as:</w:t>
      </w:r>
    </w:p>
    <w:p w14:paraId="28ECF73B" w14:textId="77777777" w:rsidR="00BA39E4" w:rsidRPr="00BA39E4" w:rsidRDefault="00BA39E4" w:rsidP="00BA39E4">
      <w:pPr>
        <w:spacing w:after="0"/>
      </w:pPr>
      <w:r w:rsidRPr="00BA39E4">
        <w:rPr>
          <w:b/>
          <w:bCs/>
        </w:rPr>
        <w:t>“Locally non-stationary regimes represent phases of unusually strong shocks, trend shifts, or policy transitions that temporarily alter the speed of current account adjustment.”</w:t>
      </w:r>
    </w:p>
    <w:p w14:paraId="337F6153" w14:textId="77777777" w:rsidR="00BA39E4" w:rsidRDefault="00BA39E4" w:rsidP="00BA39E4">
      <w:pPr>
        <w:spacing w:after="0"/>
      </w:pPr>
    </w:p>
    <w:p w14:paraId="25D54A7B" w14:textId="14DE696E" w:rsidR="00BA39E4" w:rsidRPr="00BA39E4" w:rsidRDefault="00BA39E4" w:rsidP="00BA39E4">
      <w:pPr>
        <w:spacing w:after="0"/>
      </w:pPr>
      <w:r w:rsidRPr="00BA39E4">
        <w:t>To reinforce this:</w:t>
      </w:r>
    </w:p>
    <w:p w14:paraId="0297256E" w14:textId="77777777" w:rsidR="00BA39E4" w:rsidRPr="00BA39E4" w:rsidRDefault="00BA39E4" w:rsidP="00BA39E4">
      <w:pPr>
        <w:numPr>
          <w:ilvl w:val="0"/>
          <w:numId w:val="40"/>
        </w:numPr>
        <w:spacing w:after="0"/>
      </w:pPr>
      <w:r w:rsidRPr="00BA39E4">
        <w:t>Provide economic narratives for major episodes (e.g., China, U.S., crises).</w:t>
      </w:r>
    </w:p>
    <w:p w14:paraId="7B83B124" w14:textId="77777777" w:rsidR="00BA39E4" w:rsidRPr="00BA39E4" w:rsidRDefault="00BA39E4" w:rsidP="00BA39E4">
      <w:pPr>
        <w:numPr>
          <w:ilvl w:val="0"/>
          <w:numId w:val="40"/>
        </w:numPr>
        <w:spacing w:after="0"/>
      </w:pPr>
      <w:r w:rsidRPr="00BA39E4">
        <w:t xml:space="preserve">Emphasize </w:t>
      </w:r>
      <w:r w:rsidRPr="00BA39E4">
        <w:rPr>
          <w:b/>
          <w:bCs/>
        </w:rPr>
        <w:t>transitions</w:t>
      </w:r>
      <w:r w:rsidRPr="00BA39E4">
        <w:t xml:space="preserve"> rather than </w:t>
      </w:r>
      <w:r w:rsidRPr="00BA39E4">
        <w:rPr>
          <w:b/>
          <w:bCs/>
        </w:rPr>
        <w:t>violations</w:t>
      </w:r>
      <w:r w:rsidRPr="00BA39E4">
        <w:t>.</w:t>
      </w:r>
    </w:p>
    <w:p w14:paraId="062FBD87" w14:textId="77777777" w:rsidR="00BA39E4" w:rsidRPr="00BA39E4" w:rsidRDefault="00BA39E4" w:rsidP="00BA39E4">
      <w:pPr>
        <w:spacing w:after="0"/>
      </w:pPr>
      <w:r w:rsidRPr="00BA39E4">
        <w:t>This addresses the referees’ concerns directly while preserving your empirical insights.</w:t>
      </w:r>
    </w:p>
    <w:p w14:paraId="7086896E" w14:textId="77777777" w:rsidR="00BA39E4" w:rsidRPr="00BA39E4" w:rsidRDefault="00BA39E4" w:rsidP="00BA39E4">
      <w:pPr>
        <w:spacing w:after="0"/>
      </w:pPr>
      <w:r w:rsidRPr="00BA39E4">
        <w:pict w14:anchorId="6508B474">
          <v:rect id="_x0000_i1105" style="width:0;height:1.5pt" o:hralign="center" o:hrstd="t" o:hr="t" fillcolor="#a0a0a0" stroked="f"/>
        </w:pict>
      </w:r>
    </w:p>
    <w:p w14:paraId="7453334C" w14:textId="7777777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6. Adopt a More Modest Policy Tone</w:t>
      </w:r>
    </w:p>
    <w:p w14:paraId="36E3F201" w14:textId="7777777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Replace:</w:t>
      </w:r>
    </w:p>
    <w:p w14:paraId="61C7F2E4" w14:textId="77777777" w:rsidR="00BA39E4" w:rsidRPr="00BA39E4" w:rsidRDefault="00BA39E4" w:rsidP="00BA39E4">
      <w:pPr>
        <w:numPr>
          <w:ilvl w:val="0"/>
          <w:numId w:val="41"/>
        </w:numPr>
        <w:spacing w:after="0"/>
      </w:pPr>
      <w:r w:rsidRPr="00BA39E4">
        <w:t>“Implications for global rebalancing”</w:t>
      </w:r>
    </w:p>
    <w:p w14:paraId="4EBE0F8F" w14:textId="77777777" w:rsidR="00BA39E4" w:rsidRPr="00BA39E4" w:rsidRDefault="00BA39E4" w:rsidP="00BA39E4">
      <w:pPr>
        <w:numPr>
          <w:ilvl w:val="0"/>
          <w:numId w:val="41"/>
        </w:numPr>
        <w:spacing w:after="0"/>
      </w:pPr>
      <w:r w:rsidRPr="00BA39E4">
        <w:t>“Red signals”</w:t>
      </w:r>
    </w:p>
    <w:p w14:paraId="6C67CF04" w14:textId="77777777" w:rsidR="00BA39E4" w:rsidRPr="00BA39E4" w:rsidRDefault="00BA39E4" w:rsidP="00BA39E4">
      <w:pPr>
        <w:numPr>
          <w:ilvl w:val="0"/>
          <w:numId w:val="41"/>
        </w:numPr>
        <w:spacing w:after="0"/>
      </w:pPr>
      <w:r w:rsidRPr="00BA39E4">
        <w:t>“Violating LRBC”</w:t>
      </w:r>
    </w:p>
    <w:p w14:paraId="657DC622" w14:textId="77777777" w:rsidR="00BA39E4" w:rsidRPr="00BA39E4" w:rsidRDefault="00BA39E4" w:rsidP="00BA39E4">
      <w:pPr>
        <w:numPr>
          <w:ilvl w:val="0"/>
          <w:numId w:val="41"/>
        </w:numPr>
        <w:spacing w:after="0"/>
      </w:pPr>
      <w:r w:rsidRPr="00BA39E4">
        <w:t>“Severe constraints”</w:t>
      </w:r>
    </w:p>
    <w:p w14:paraId="252705F5" w14:textId="7777777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With:</w:t>
      </w:r>
    </w:p>
    <w:p w14:paraId="651C484A" w14:textId="77777777" w:rsidR="00BA39E4" w:rsidRPr="00BA39E4" w:rsidRDefault="00BA39E4" w:rsidP="00BA39E4">
      <w:pPr>
        <w:numPr>
          <w:ilvl w:val="0"/>
          <w:numId w:val="42"/>
        </w:numPr>
        <w:spacing w:after="0"/>
      </w:pPr>
      <w:r w:rsidRPr="00BA39E4">
        <w:t>“Implications for understanding adjustment dynamics”</w:t>
      </w:r>
    </w:p>
    <w:p w14:paraId="090E393F" w14:textId="77777777" w:rsidR="00BA39E4" w:rsidRPr="00BA39E4" w:rsidRDefault="00BA39E4" w:rsidP="00BA39E4">
      <w:pPr>
        <w:numPr>
          <w:ilvl w:val="0"/>
          <w:numId w:val="42"/>
        </w:numPr>
        <w:spacing w:after="0"/>
      </w:pPr>
      <w:r w:rsidRPr="00BA39E4">
        <w:t>“Episodes of heightened persistence”</w:t>
      </w:r>
    </w:p>
    <w:p w14:paraId="01B6CAC1" w14:textId="77777777" w:rsidR="00BA39E4" w:rsidRPr="00BA39E4" w:rsidRDefault="00BA39E4" w:rsidP="00BA39E4">
      <w:pPr>
        <w:numPr>
          <w:ilvl w:val="0"/>
          <w:numId w:val="42"/>
        </w:numPr>
        <w:spacing w:after="0"/>
      </w:pPr>
      <w:r w:rsidRPr="00BA39E4">
        <w:t>“Shifts in the medium-term trajectory”</w:t>
      </w:r>
    </w:p>
    <w:p w14:paraId="5C8D0FAD" w14:textId="77777777" w:rsidR="00BA39E4" w:rsidRPr="00BA39E4" w:rsidRDefault="00BA39E4" w:rsidP="00BA39E4">
      <w:pPr>
        <w:spacing w:after="0"/>
      </w:pPr>
      <w:r w:rsidRPr="00BA39E4">
        <w:t>This aligns with the empirical nature of your work.</w:t>
      </w:r>
    </w:p>
    <w:p w14:paraId="2A9F3738" w14:textId="77777777" w:rsidR="00BA39E4" w:rsidRPr="00BA39E4" w:rsidRDefault="00BA39E4" w:rsidP="00BA39E4">
      <w:pPr>
        <w:spacing w:after="0"/>
      </w:pPr>
      <w:r w:rsidRPr="00BA39E4">
        <w:pict w14:anchorId="19FFB7BC">
          <v:rect id="_x0000_i1106" style="width:0;height:1.5pt" o:hralign="center" o:hrstd="t" o:hr="t" fillcolor="#a0a0a0" stroked="f"/>
        </w:pict>
      </w:r>
    </w:p>
    <w:p w14:paraId="391621E1" w14:textId="7777777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7. Target Journals Where This Reframing Fits Best</w:t>
      </w:r>
    </w:p>
    <w:p w14:paraId="211E99F8" w14:textId="77777777" w:rsidR="00BA39E4" w:rsidRPr="00BA39E4" w:rsidRDefault="00BA39E4" w:rsidP="00BA39E4">
      <w:pPr>
        <w:spacing w:after="0"/>
      </w:pPr>
      <w:r w:rsidRPr="00BA39E4">
        <w:t>Your strongest contribution is empirical, nonlinear, and related to external adjustment—not sustainability.</w:t>
      </w:r>
    </w:p>
    <w:p w14:paraId="2E0581C8" w14:textId="7777777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Best-fit outlets: Econometrics-leaning Macro Journals</w:t>
      </w:r>
    </w:p>
    <w:p w14:paraId="2450A276" w14:textId="77777777" w:rsidR="00BA39E4" w:rsidRPr="00BA39E4" w:rsidRDefault="00BA39E4" w:rsidP="00BA39E4">
      <w:pPr>
        <w:numPr>
          <w:ilvl w:val="0"/>
          <w:numId w:val="43"/>
        </w:numPr>
        <w:spacing w:after="0"/>
      </w:pPr>
      <w:r w:rsidRPr="00BA39E4">
        <w:rPr>
          <w:i/>
          <w:iCs/>
        </w:rPr>
        <w:t>Journal of International Financial Markets, Institutions &amp; Money</w:t>
      </w:r>
    </w:p>
    <w:p w14:paraId="44754350" w14:textId="77777777" w:rsidR="00BA39E4" w:rsidRPr="00BA39E4" w:rsidRDefault="00BA39E4" w:rsidP="00BA39E4">
      <w:pPr>
        <w:numPr>
          <w:ilvl w:val="0"/>
          <w:numId w:val="43"/>
        </w:numPr>
        <w:spacing w:after="0"/>
      </w:pPr>
      <w:r w:rsidRPr="00BA39E4">
        <w:rPr>
          <w:i/>
          <w:iCs/>
        </w:rPr>
        <w:t>Review of International Economics</w:t>
      </w:r>
    </w:p>
    <w:p w14:paraId="61A4219D" w14:textId="77777777" w:rsidR="00BA39E4" w:rsidRPr="00BA39E4" w:rsidRDefault="00BA39E4" w:rsidP="00BA39E4">
      <w:pPr>
        <w:numPr>
          <w:ilvl w:val="0"/>
          <w:numId w:val="43"/>
        </w:numPr>
        <w:spacing w:after="0"/>
      </w:pPr>
      <w:r w:rsidRPr="00BA39E4">
        <w:rPr>
          <w:i/>
          <w:iCs/>
        </w:rPr>
        <w:t>Open Economies Review</w:t>
      </w:r>
    </w:p>
    <w:p w14:paraId="70AA5DCC" w14:textId="77777777" w:rsidR="00BA39E4" w:rsidRPr="00BA39E4" w:rsidRDefault="00BA39E4" w:rsidP="00BA39E4">
      <w:pPr>
        <w:numPr>
          <w:ilvl w:val="0"/>
          <w:numId w:val="43"/>
        </w:numPr>
        <w:spacing w:after="0"/>
      </w:pPr>
      <w:r w:rsidRPr="00BA39E4">
        <w:rPr>
          <w:i/>
          <w:iCs/>
        </w:rPr>
        <w:t>International Review of Economics &amp; Finance</w:t>
      </w:r>
    </w:p>
    <w:p w14:paraId="52DD4C2D" w14:textId="77777777" w:rsidR="00BA39E4" w:rsidRPr="00BA39E4" w:rsidRDefault="00BA39E4" w:rsidP="00BA39E4">
      <w:pPr>
        <w:numPr>
          <w:ilvl w:val="0"/>
          <w:numId w:val="43"/>
        </w:numPr>
        <w:spacing w:after="0"/>
      </w:pPr>
      <w:r w:rsidRPr="00BA39E4">
        <w:rPr>
          <w:i/>
          <w:iCs/>
        </w:rPr>
        <w:t>Emerging Markets Finance and Trade</w:t>
      </w:r>
    </w:p>
    <w:p w14:paraId="0EC037F0" w14:textId="77777777" w:rsidR="00BA39E4" w:rsidRPr="00BA39E4" w:rsidRDefault="00BA39E4" w:rsidP="00BA39E4">
      <w:pPr>
        <w:numPr>
          <w:ilvl w:val="0"/>
          <w:numId w:val="43"/>
        </w:numPr>
        <w:spacing w:after="0"/>
      </w:pPr>
      <w:r w:rsidRPr="00BA39E4">
        <w:rPr>
          <w:i/>
          <w:iCs/>
        </w:rPr>
        <w:t>Empirical Economics</w:t>
      </w:r>
    </w:p>
    <w:p w14:paraId="7F2EA0A4" w14:textId="77777777" w:rsidR="00BA39E4" w:rsidRPr="00BA39E4" w:rsidRDefault="00BA39E4" w:rsidP="00BA39E4">
      <w:pPr>
        <w:numPr>
          <w:ilvl w:val="0"/>
          <w:numId w:val="43"/>
        </w:numPr>
        <w:spacing w:after="0"/>
      </w:pPr>
      <w:r w:rsidRPr="00BA39E4">
        <w:rPr>
          <w:i/>
          <w:iCs/>
        </w:rPr>
        <w:t>North American Journal of Economics and Finance</w:t>
      </w:r>
    </w:p>
    <w:p w14:paraId="3AD5A518" w14:textId="77777777" w:rsidR="00BA39E4" w:rsidRPr="00BA39E4" w:rsidRDefault="00BA39E4" w:rsidP="00BA39E4">
      <w:pPr>
        <w:spacing w:after="0"/>
      </w:pPr>
      <w:r w:rsidRPr="00BA39E4">
        <w:t>These journals:</w:t>
      </w:r>
    </w:p>
    <w:p w14:paraId="312B6AC1" w14:textId="77777777" w:rsidR="00BA39E4" w:rsidRPr="00BA39E4" w:rsidRDefault="00BA39E4" w:rsidP="00BA39E4">
      <w:pPr>
        <w:numPr>
          <w:ilvl w:val="0"/>
          <w:numId w:val="44"/>
        </w:numPr>
        <w:spacing w:after="0"/>
      </w:pPr>
      <w:r w:rsidRPr="00BA39E4">
        <w:t>Publish nonlinear MS studies</w:t>
      </w:r>
    </w:p>
    <w:p w14:paraId="69AB2A34" w14:textId="77777777" w:rsidR="00BA39E4" w:rsidRPr="00BA39E4" w:rsidRDefault="00BA39E4" w:rsidP="00BA39E4">
      <w:pPr>
        <w:numPr>
          <w:ilvl w:val="0"/>
          <w:numId w:val="44"/>
        </w:numPr>
        <w:spacing w:after="0"/>
      </w:pPr>
      <w:r w:rsidRPr="00BA39E4">
        <w:t>Appreciate descriptive characterizations of global macro data</w:t>
      </w:r>
    </w:p>
    <w:p w14:paraId="667F00A7" w14:textId="77777777" w:rsidR="00BA39E4" w:rsidRPr="00BA39E4" w:rsidRDefault="00BA39E4" w:rsidP="00BA39E4">
      <w:pPr>
        <w:numPr>
          <w:ilvl w:val="0"/>
          <w:numId w:val="44"/>
        </w:numPr>
        <w:spacing w:after="0"/>
      </w:pPr>
      <w:r w:rsidRPr="00BA39E4">
        <w:t>Are less focused on tight LRBC theory</w:t>
      </w:r>
    </w:p>
    <w:p w14:paraId="3148F8DC" w14:textId="77777777" w:rsidR="00BA39E4" w:rsidRPr="00BA39E4" w:rsidRDefault="00BA39E4" w:rsidP="00BA39E4">
      <w:pPr>
        <w:numPr>
          <w:ilvl w:val="0"/>
          <w:numId w:val="44"/>
        </w:numPr>
        <w:spacing w:after="0"/>
      </w:pPr>
      <w:r w:rsidRPr="00BA39E4">
        <w:t>Want empirically grounded, methodologically clean contributions</w:t>
      </w:r>
    </w:p>
    <w:p w14:paraId="577FE2DE" w14:textId="77777777" w:rsidR="00BA39E4" w:rsidRPr="00BA39E4" w:rsidRDefault="00BA39E4" w:rsidP="00BA39E4">
      <w:pPr>
        <w:spacing w:after="0"/>
      </w:pPr>
      <w:r w:rsidRPr="00BA39E4">
        <w:rPr>
          <w:b/>
          <w:bCs/>
        </w:rPr>
        <w:t>Your revised framing fits them perfectly.</w:t>
      </w:r>
    </w:p>
    <w:p w14:paraId="602F3B68" w14:textId="77777777" w:rsidR="00BA39E4" w:rsidRPr="00BA39E4" w:rsidRDefault="00BA39E4" w:rsidP="00BA39E4">
      <w:pPr>
        <w:spacing w:after="0"/>
      </w:pPr>
      <w:r w:rsidRPr="00BA39E4">
        <w:pict w14:anchorId="023868DD">
          <v:rect id="_x0000_i1107" style="width:0;height:1.5pt" o:hralign="center" o:hrstd="t" o:hr="t" fillcolor="#a0a0a0" stroked="f"/>
        </w:pict>
      </w:r>
    </w:p>
    <w:p w14:paraId="0F07000B" w14:textId="7777777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8. Proposed Revised Title (Optional)</w:t>
      </w:r>
    </w:p>
    <w:p w14:paraId="1A9951C2" w14:textId="77777777" w:rsidR="00BA39E4" w:rsidRPr="00BA39E4" w:rsidRDefault="00BA39E4" w:rsidP="00BA39E4">
      <w:pPr>
        <w:spacing w:after="0"/>
      </w:pPr>
      <w:r w:rsidRPr="00BA39E4">
        <w:t>Titles that de-emphasize sustainability and emphasize dynamics:</w:t>
      </w:r>
    </w:p>
    <w:p w14:paraId="06E235F4" w14:textId="7777777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lastRenderedPageBreak/>
        <w:t>Option 1 (Balanced):</w:t>
      </w:r>
    </w:p>
    <w:p w14:paraId="2F3C8724" w14:textId="77777777" w:rsidR="00BA39E4" w:rsidRPr="00BA39E4" w:rsidRDefault="00BA39E4" w:rsidP="00BA39E4">
      <w:pPr>
        <w:spacing w:after="0"/>
      </w:pPr>
      <w:r w:rsidRPr="00BA39E4">
        <w:rPr>
          <w:b/>
          <w:bCs/>
        </w:rPr>
        <w:t>“Structural Breaks and Adjustment Dynamics in Current Account Balances: A Markov-Switching Approach”</w:t>
      </w:r>
    </w:p>
    <w:p w14:paraId="40193E14" w14:textId="7777777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Option 2 (Nonlinear focus):</w:t>
      </w:r>
    </w:p>
    <w:p w14:paraId="236F627A" w14:textId="77777777" w:rsidR="00BA39E4" w:rsidRPr="00BA39E4" w:rsidRDefault="00BA39E4" w:rsidP="00BA39E4">
      <w:pPr>
        <w:spacing w:after="0"/>
      </w:pPr>
      <w:r w:rsidRPr="00BA39E4">
        <w:rPr>
          <w:b/>
          <w:bCs/>
        </w:rPr>
        <w:t>“Nonlinear Persistence and Regime Shifts in Current Account Balances: Evidence from Markov-Switching Models”</w:t>
      </w:r>
    </w:p>
    <w:p w14:paraId="0321BAAA" w14:textId="7777777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Option 3 (Exchange rate angle):</w:t>
      </w:r>
    </w:p>
    <w:p w14:paraId="4002C527" w14:textId="77777777" w:rsidR="00BA39E4" w:rsidRPr="00BA39E4" w:rsidRDefault="00BA39E4" w:rsidP="00BA39E4">
      <w:pPr>
        <w:spacing w:after="0"/>
      </w:pPr>
      <w:r w:rsidRPr="00BA39E4">
        <w:rPr>
          <w:b/>
          <w:bCs/>
        </w:rPr>
        <w:t>“Exchange Rate Regimes and the Dynamics of Current Account Adjustment: A Markov-Switching Perspective”</w:t>
      </w:r>
    </w:p>
    <w:p w14:paraId="45524841" w14:textId="77777777" w:rsidR="00BA39E4" w:rsidRPr="00BA39E4" w:rsidRDefault="00BA39E4" w:rsidP="00BA39E4">
      <w:pPr>
        <w:spacing w:after="0"/>
      </w:pPr>
      <w:r w:rsidRPr="00BA39E4">
        <w:t>These titles immediately signal the reframed contribution.</w:t>
      </w:r>
    </w:p>
    <w:p w14:paraId="00AAC35A" w14:textId="77777777" w:rsidR="00BA39E4" w:rsidRPr="00BA39E4" w:rsidRDefault="00BA39E4" w:rsidP="00BA39E4">
      <w:pPr>
        <w:spacing w:after="0"/>
      </w:pPr>
      <w:r w:rsidRPr="00BA39E4">
        <w:pict w14:anchorId="491B974A">
          <v:rect id="_x0000_i1108" style="width:0;height:1.5pt" o:hralign="center" o:hrstd="t" o:hr="t" fillcolor="#a0a0a0" stroked="f"/>
        </w:pict>
      </w:r>
    </w:p>
    <w:p w14:paraId="32151017" w14:textId="7777777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9. How This Reframing Improves Publishability</w:t>
      </w:r>
    </w:p>
    <w:p w14:paraId="6D170544" w14:textId="7777777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Addresses every major referee criticism by:</w:t>
      </w:r>
    </w:p>
    <w:p w14:paraId="2731EEEA" w14:textId="77777777" w:rsidR="00BA39E4" w:rsidRPr="00BA39E4" w:rsidRDefault="00BA39E4" w:rsidP="00BA39E4">
      <w:pPr>
        <w:spacing w:after="0"/>
      </w:pPr>
      <w:r w:rsidRPr="00BA39E4">
        <w:rPr>
          <w:rFonts w:ascii="Segoe UI Symbol" w:hAnsi="Segoe UI Symbol" w:cs="Segoe UI Symbol"/>
        </w:rPr>
        <w:t>✔</w:t>
      </w:r>
      <w:r w:rsidRPr="00BA39E4">
        <w:t xml:space="preserve"> Avoiding overinterpretation of stationarity</w:t>
      </w:r>
      <w:r w:rsidRPr="00BA39E4">
        <w:br/>
      </w:r>
      <w:r w:rsidRPr="00BA39E4">
        <w:rPr>
          <w:rFonts w:ascii="Segoe UI Symbol" w:hAnsi="Segoe UI Symbol" w:cs="Segoe UI Symbol"/>
        </w:rPr>
        <w:t>✔</w:t>
      </w:r>
      <w:r w:rsidRPr="00BA39E4">
        <w:t xml:space="preserve"> Providing a theoretical anchor for the exchange-rate-regime result</w:t>
      </w:r>
      <w:r w:rsidRPr="00BA39E4">
        <w:br/>
      </w:r>
      <w:r w:rsidRPr="00BA39E4">
        <w:rPr>
          <w:rFonts w:ascii="Segoe UI Symbol" w:hAnsi="Segoe UI Symbol" w:cs="Segoe UI Symbol"/>
        </w:rPr>
        <w:t>✔</w:t>
      </w:r>
      <w:r w:rsidRPr="00BA39E4">
        <w:t xml:space="preserve"> Streamlining the empirical design</w:t>
      </w:r>
      <w:r w:rsidRPr="00BA39E4">
        <w:br/>
      </w:r>
      <w:r w:rsidRPr="00BA39E4">
        <w:rPr>
          <w:rFonts w:ascii="Segoe UI Symbol" w:hAnsi="Segoe UI Symbol" w:cs="Segoe UI Symbol"/>
        </w:rPr>
        <w:t>✔</w:t>
      </w:r>
      <w:r w:rsidRPr="00BA39E4">
        <w:t xml:space="preserve"> Strengthening the narrative around identified regimes</w:t>
      </w:r>
      <w:r w:rsidRPr="00BA39E4">
        <w:br/>
      </w:r>
      <w:r w:rsidRPr="00BA39E4">
        <w:rPr>
          <w:rFonts w:ascii="Segoe UI Symbol" w:hAnsi="Segoe UI Symbol" w:cs="Segoe UI Symbol"/>
        </w:rPr>
        <w:t>✔</w:t>
      </w:r>
      <w:r w:rsidRPr="00BA39E4">
        <w:t xml:space="preserve"> Improving policy neutrality</w:t>
      </w:r>
      <w:r w:rsidRPr="00BA39E4">
        <w:br/>
      </w:r>
      <w:r w:rsidRPr="00BA39E4">
        <w:rPr>
          <w:rFonts w:ascii="Segoe UI Symbol" w:hAnsi="Segoe UI Symbol" w:cs="Segoe UI Symbol"/>
        </w:rPr>
        <w:t>✔</w:t>
      </w:r>
      <w:r w:rsidRPr="00BA39E4">
        <w:t xml:space="preserve"> Creating a contribution more aligned with mid-tier international macro or applied econometrics journals</w:t>
      </w:r>
    </w:p>
    <w:p w14:paraId="41A743C6" w14:textId="77777777" w:rsidR="00BA39E4" w:rsidRPr="00BA39E4" w:rsidRDefault="00BA39E4" w:rsidP="00BA39E4">
      <w:pPr>
        <w:spacing w:after="0"/>
        <w:rPr>
          <w:b/>
          <w:bCs/>
        </w:rPr>
      </w:pPr>
      <w:r w:rsidRPr="00BA39E4">
        <w:rPr>
          <w:b/>
          <w:bCs/>
        </w:rPr>
        <w:t>Positions the paper as:</w:t>
      </w:r>
    </w:p>
    <w:p w14:paraId="48DFE8AF" w14:textId="77777777" w:rsidR="00BA39E4" w:rsidRPr="00BA39E4" w:rsidRDefault="00BA39E4" w:rsidP="00BA39E4">
      <w:pPr>
        <w:spacing w:after="0"/>
      </w:pPr>
      <w:r w:rsidRPr="00BA39E4">
        <w:t xml:space="preserve">A robust empirical study of </w:t>
      </w:r>
      <w:r w:rsidRPr="00BA39E4">
        <w:rPr>
          <w:b/>
          <w:bCs/>
        </w:rPr>
        <w:t>nonlinear external adjustment dynamics</w:t>
      </w:r>
      <w:r w:rsidRPr="00BA39E4">
        <w:t>, rather than a sustainability diagnosis.</w:t>
      </w:r>
    </w:p>
    <w:p w14:paraId="701793F5" w14:textId="77777777" w:rsidR="000C0F0A" w:rsidRPr="00833858" w:rsidRDefault="000C0F0A" w:rsidP="00833858"/>
    <w:sectPr w:rsidR="000C0F0A" w:rsidRPr="008338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3650A"/>
    <w:multiLevelType w:val="multilevel"/>
    <w:tmpl w:val="E102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546EF"/>
    <w:multiLevelType w:val="multilevel"/>
    <w:tmpl w:val="F2FE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551C1"/>
    <w:multiLevelType w:val="multilevel"/>
    <w:tmpl w:val="4AD6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6D53ED"/>
    <w:multiLevelType w:val="multilevel"/>
    <w:tmpl w:val="B7F608D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20" w:hanging="360"/>
      </w:p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E368B3"/>
    <w:multiLevelType w:val="multilevel"/>
    <w:tmpl w:val="B7F608D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20" w:hanging="360"/>
      </w:p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85B50"/>
    <w:multiLevelType w:val="multilevel"/>
    <w:tmpl w:val="B7F608D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20" w:hanging="360"/>
      </w:p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1B3B60"/>
    <w:multiLevelType w:val="multilevel"/>
    <w:tmpl w:val="1EEE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35D76"/>
    <w:multiLevelType w:val="multilevel"/>
    <w:tmpl w:val="9B26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0F006C"/>
    <w:multiLevelType w:val="multilevel"/>
    <w:tmpl w:val="A966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7263A4"/>
    <w:multiLevelType w:val="multilevel"/>
    <w:tmpl w:val="A6C2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73651"/>
    <w:multiLevelType w:val="multilevel"/>
    <w:tmpl w:val="006E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D336F2"/>
    <w:multiLevelType w:val="multilevel"/>
    <w:tmpl w:val="37FE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FD72AD"/>
    <w:multiLevelType w:val="multilevel"/>
    <w:tmpl w:val="7518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F657D"/>
    <w:multiLevelType w:val="multilevel"/>
    <w:tmpl w:val="7214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B3623"/>
    <w:multiLevelType w:val="multilevel"/>
    <w:tmpl w:val="5152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8777C0"/>
    <w:multiLevelType w:val="multilevel"/>
    <w:tmpl w:val="9278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C30315"/>
    <w:multiLevelType w:val="multilevel"/>
    <w:tmpl w:val="D4F2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9745D3"/>
    <w:multiLevelType w:val="multilevel"/>
    <w:tmpl w:val="EEE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2D151A"/>
    <w:multiLevelType w:val="multilevel"/>
    <w:tmpl w:val="75D4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01EBA"/>
    <w:multiLevelType w:val="multilevel"/>
    <w:tmpl w:val="FE86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340E9"/>
    <w:multiLevelType w:val="multilevel"/>
    <w:tmpl w:val="219497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20" w:hanging="360"/>
      </w:p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2157A"/>
    <w:multiLevelType w:val="multilevel"/>
    <w:tmpl w:val="52EE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CE7291"/>
    <w:multiLevelType w:val="multilevel"/>
    <w:tmpl w:val="EFF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B8777A"/>
    <w:multiLevelType w:val="multilevel"/>
    <w:tmpl w:val="AF50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161199"/>
    <w:multiLevelType w:val="multilevel"/>
    <w:tmpl w:val="95AC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DA3CBA"/>
    <w:multiLevelType w:val="multilevel"/>
    <w:tmpl w:val="CDA8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093C67"/>
    <w:multiLevelType w:val="multilevel"/>
    <w:tmpl w:val="11F2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561506"/>
    <w:multiLevelType w:val="multilevel"/>
    <w:tmpl w:val="657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AC3E1E"/>
    <w:multiLevelType w:val="multilevel"/>
    <w:tmpl w:val="6BF8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113DEA"/>
    <w:multiLevelType w:val="multilevel"/>
    <w:tmpl w:val="1414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E44AE3"/>
    <w:multiLevelType w:val="multilevel"/>
    <w:tmpl w:val="31D6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6A5F99"/>
    <w:multiLevelType w:val="multilevel"/>
    <w:tmpl w:val="81BE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6D0D85"/>
    <w:multiLevelType w:val="multilevel"/>
    <w:tmpl w:val="B946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716259">
    <w:abstractNumId w:val="8"/>
  </w:num>
  <w:num w:numId="2" w16cid:durableId="411971943">
    <w:abstractNumId w:val="6"/>
  </w:num>
  <w:num w:numId="3" w16cid:durableId="788209727">
    <w:abstractNumId w:val="5"/>
  </w:num>
  <w:num w:numId="4" w16cid:durableId="1868786813">
    <w:abstractNumId w:val="4"/>
  </w:num>
  <w:num w:numId="5" w16cid:durableId="507210698">
    <w:abstractNumId w:val="7"/>
  </w:num>
  <w:num w:numId="6" w16cid:durableId="1668509177">
    <w:abstractNumId w:val="3"/>
  </w:num>
  <w:num w:numId="7" w16cid:durableId="347223510">
    <w:abstractNumId w:val="2"/>
  </w:num>
  <w:num w:numId="8" w16cid:durableId="1676836837">
    <w:abstractNumId w:val="1"/>
  </w:num>
  <w:num w:numId="9" w16cid:durableId="1975478878">
    <w:abstractNumId w:val="0"/>
  </w:num>
  <w:num w:numId="10" w16cid:durableId="762990683">
    <w:abstractNumId w:val="21"/>
  </w:num>
  <w:num w:numId="11" w16cid:durableId="2042632557">
    <w:abstractNumId w:val="38"/>
  </w:num>
  <w:num w:numId="12" w16cid:durableId="646740154">
    <w:abstractNumId w:val="25"/>
  </w:num>
  <w:num w:numId="13" w16cid:durableId="475607882">
    <w:abstractNumId w:val="27"/>
  </w:num>
  <w:num w:numId="14" w16cid:durableId="652829950">
    <w:abstractNumId w:val="39"/>
  </w:num>
  <w:num w:numId="15" w16cid:durableId="1838374396">
    <w:abstractNumId w:val="39"/>
    <w:lvlOverride w:ilvl="1">
      <w:lvl w:ilvl="1">
        <w:numFmt w:val="decimal"/>
        <w:lvlText w:val="%2."/>
        <w:lvlJc w:val="left"/>
      </w:lvl>
    </w:lvlOverride>
  </w:num>
  <w:num w:numId="16" w16cid:durableId="1849100827">
    <w:abstractNumId w:val="9"/>
  </w:num>
  <w:num w:numId="17" w16cid:durableId="1663657178">
    <w:abstractNumId w:val="36"/>
  </w:num>
  <w:num w:numId="18" w16cid:durableId="1764646895">
    <w:abstractNumId w:val="29"/>
  </w:num>
  <w:num w:numId="19" w16cid:durableId="1936598617">
    <w:abstractNumId w:val="12"/>
  </w:num>
  <w:num w:numId="20" w16cid:durableId="1477531760">
    <w:abstractNumId w:val="13"/>
  </w:num>
  <w:num w:numId="21" w16cid:durableId="734933247">
    <w:abstractNumId w:val="22"/>
  </w:num>
  <w:num w:numId="22" w16cid:durableId="949749010">
    <w:abstractNumId w:val="30"/>
  </w:num>
  <w:num w:numId="23" w16cid:durableId="1101491489">
    <w:abstractNumId w:val="31"/>
  </w:num>
  <w:num w:numId="24" w16cid:durableId="145586360">
    <w:abstractNumId w:val="33"/>
  </w:num>
  <w:num w:numId="25" w16cid:durableId="1424884102">
    <w:abstractNumId w:val="41"/>
  </w:num>
  <w:num w:numId="26" w16cid:durableId="1083382497">
    <w:abstractNumId w:val="20"/>
  </w:num>
  <w:num w:numId="27" w16cid:durableId="1052735222">
    <w:abstractNumId w:val="28"/>
  </w:num>
  <w:num w:numId="28" w16cid:durableId="1024016389">
    <w:abstractNumId w:val="18"/>
  </w:num>
  <w:num w:numId="29" w16cid:durableId="1612318978">
    <w:abstractNumId w:val="24"/>
  </w:num>
  <w:num w:numId="30" w16cid:durableId="66463151">
    <w:abstractNumId w:val="24"/>
    <w:lvlOverride w:ilvl="1">
      <w:lvl w:ilvl="1">
        <w:numFmt w:val="decimal"/>
        <w:lvlText w:val="%2."/>
        <w:lvlJc w:val="left"/>
      </w:lvl>
    </w:lvlOverride>
  </w:num>
  <w:num w:numId="31" w16cid:durableId="439373676">
    <w:abstractNumId w:val="14"/>
  </w:num>
  <w:num w:numId="32" w16cid:durableId="104077098">
    <w:abstractNumId w:val="16"/>
  </w:num>
  <w:num w:numId="33" w16cid:durableId="1614283161">
    <w:abstractNumId w:val="35"/>
  </w:num>
  <w:num w:numId="34" w16cid:durableId="913003145">
    <w:abstractNumId w:val="11"/>
  </w:num>
  <w:num w:numId="35" w16cid:durableId="1572082173">
    <w:abstractNumId w:val="10"/>
  </w:num>
  <w:num w:numId="36" w16cid:durableId="627441707">
    <w:abstractNumId w:val="26"/>
  </w:num>
  <w:num w:numId="37" w16cid:durableId="696153338">
    <w:abstractNumId w:val="19"/>
  </w:num>
  <w:num w:numId="38" w16cid:durableId="244263089">
    <w:abstractNumId w:val="37"/>
  </w:num>
  <w:num w:numId="39" w16cid:durableId="1244997034">
    <w:abstractNumId w:val="32"/>
  </w:num>
  <w:num w:numId="40" w16cid:durableId="254631950">
    <w:abstractNumId w:val="17"/>
  </w:num>
  <w:num w:numId="41" w16cid:durableId="116485089">
    <w:abstractNumId w:val="23"/>
  </w:num>
  <w:num w:numId="42" w16cid:durableId="1246767326">
    <w:abstractNumId w:val="34"/>
  </w:num>
  <w:num w:numId="43" w16cid:durableId="538855378">
    <w:abstractNumId w:val="15"/>
  </w:num>
  <w:num w:numId="44" w16cid:durableId="154837180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F0A"/>
    <w:rsid w:val="0015074B"/>
    <w:rsid w:val="00150B47"/>
    <w:rsid w:val="00233324"/>
    <w:rsid w:val="0029639D"/>
    <w:rsid w:val="00326F90"/>
    <w:rsid w:val="004122DA"/>
    <w:rsid w:val="00663278"/>
    <w:rsid w:val="00833858"/>
    <w:rsid w:val="00957FE2"/>
    <w:rsid w:val="00AA1D8D"/>
    <w:rsid w:val="00B47730"/>
    <w:rsid w:val="00B703BE"/>
    <w:rsid w:val="00BA39E4"/>
    <w:rsid w:val="00C413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A5B9C"/>
  <w14:defaultImageDpi w14:val="300"/>
  <w15:docId w15:val="{CF241632-F919-4C8B-8D49-C958FA462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2328</Words>
  <Characters>15160</Characters>
  <Application>Microsoft Office Word</Application>
  <DocSecurity>0</DocSecurity>
  <Lines>459</Lines>
  <Paragraphs>301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Clower</cp:lastModifiedBy>
  <cp:revision>3</cp:revision>
  <dcterms:created xsi:type="dcterms:W3CDTF">2025-11-17T03:32:00Z</dcterms:created>
  <dcterms:modified xsi:type="dcterms:W3CDTF">2025-11-17T03:35:00Z</dcterms:modified>
  <cp:category/>
</cp:coreProperties>
</file>