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3C524" w14:textId="3BD177D8" w:rsidR="00514562" w:rsidRPr="00935EAC" w:rsidRDefault="0072430D" w:rsidP="007347B7">
      <w:pPr>
        <w:widowControl w:val="0"/>
        <w:autoSpaceDE w:val="0"/>
        <w:autoSpaceDN w:val="0"/>
        <w:spacing w:before="132" w:after="0" w:line="276" w:lineRule="auto"/>
        <w:jc w:val="both"/>
        <w:outlineLvl w:val="0"/>
        <w:rPr>
          <w:rFonts w:eastAsia="Times New Roman" w:cs="Times New Roman"/>
          <w:b/>
          <w:bCs/>
          <w:sz w:val="32"/>
          <w:szCs w:val="32"/>
        </w:rPr>
      </w:pPr>
      <w:r w:rsidRPr="00935EAC">
        <w:rPr>
          <w:rFonts w:eastAsia="Times New Roman" w:cs="Times New Roman"/>
          <w:b/>
          <w:bCs/>
          <w:sz w:val="32"/>
          <w:szCs w:val="32"/>
        </w:rPr>
        <w:t xml:space="preserve">What </w:t>
      </w:r>
      <w:r w:rsidR="00242950">
        <w:rPr>
          <w:rFonts w:eastAsia="Times New Roman" w:cs="Times New Roman"/>
          <w:b/>
          <w:bCs/>
          <w:sz w:val="32"/>
          <w:szCs w:val="32"/>
        </w:rPr>
        <w:t>D</w:t>
      </w:r>
      <w:r w:rsidRPr="00935EAC">
        <w:rPr>
          <w:rFonts w:eastAsia="Times New Roman" w:cs="Times New Roman"/>
          <w:b/>
          <w:bCs/>
          <w:sz w:val="32"/>
          <w:szCs w:val="32"/>
        </w:rPr>
        <w:t xml:space="preserve">rives </w:t>
      </w:r>
      <w:r w:rsidR="009F0FA4" w:rsidRPr="00935EAC">
        <w:rPr>
          <w:rFonts w:eastAsia="Times New Roman" w:cs="Times New Roman"/>
          <w:b/>
          <w:bCs/>
          <w:sz w:val="32"/>
          <w:szCs w:val="32"/>
        </w:rPr>
        <w:t>Persistence</w:t>
      </w:r>
      <w:r w:rsidR="00D03F05" w:rsidRPr="00935EAC">
        <w:rPr>
          <w:rFonts w:eastAsia="Times New Roman" w:cs="Times New Roman"/>
          <w:b/>
          <w:bCs/>
          <w:sz w:val="32"/>
          <w:szCs w:val="32"/>
        </w:rPr>
        <w:t xml:space="preserve"> </w:t>
      </w:r>
      <w:r w:rsidR="00081E27" w:rsidRPr="00935EAC">
        <w:rPr>
          <w:rFonts w:eastAsia="Times New Roman" w:cs="Times New Roman"/>
          <w:b/>
          <w:bCs/>
          <w:sz w:val="32"/>
          <w:szCs w:val="32"/>
        </w:rPr>
        <w:t xml:space="preserve">in </w:t>
      </w:r>
      <w:r w:rsidR="00242950">
        <w:rPr>
          <w:rFonts w:eastAsia="Times New Roman" w:cs="Times New Roman"/>
          <w:b/>
          <w:bCs/>
          <w:sz w:val="32"/>
          <w:szCs w:val="32"/>
        </w:rPr>
        <w:t>C</w:t>
      </w:r>
      <w:r w:rsidR="00D03F05" w:rsidRPr="00935EAC">
        <w:rPr>
          <w:rFonts w:eastAsia="Times New Roman" w:cs="Times New Roman"/>
          <w:b/>
          <w:bCs/>
          <w:sz w:val="32"/>
          <w:szCs w:val="32"/>
        </w:rPr>
        <w:t xml:space="preserve">urrent </w:t>
      </w:r>
      <w:r w:rsidR="00242950">
        <w:rPr>
          <w:rFonts w:eastAsia="Times New Roman" w:cs="Times New Roman"/>
          <w:b/>
          <w:bCs/>
          <w:sz w:val="32"/>
          <w:szCs w:val="32"/>
        </w:rPr>
        <w:t>A</w:t>
      </w:r>
      <w:r w:rsidR="00D03F05" w:rsidRPr="00935EAC">
        <w:rPr>
          <w:rFonts w:eastAsia="Times New Roman" w:cs="Times New Roman"/>
          <w:b/>
          <w:bCs/>
          <w:sz w:val="32"/>
          <w:szCs w:val="32"/>
        </w:rPr>
        <w:t xml:space="preserve">ccount </w:t>
      </w:r>
      <w:r w:rsidR="00242950">
        <w:rPr>
          <w:rFonts w:eastAsia="Times New Roman" w:cs="Times New Roman"/>
          <w:b/>
          <w:bCs/>
          <w:sz w:val="32"/>
          <w:szCs w:val="32"/>
        </w:rPr>
        <w:t>I</w:t>
      </w:r>
      <w:r w:rsidR="00081E27" w:rsidRPr="00935EAC">
        <w:rPr>
          <w:rFonts w:eastAsia="Times New Roman" w:cs="Times New Roman"/>
          <w:b/>
          <w:bCs/>
          <w:sz w:val="32"/>
          <w:szCs w:val="32"/>
        </w:rPr>
        <w:t>m</w:t>
      </w:r>
      <w:r w:rsidR="00D03F05" w:rsidRPr="00935EAC">
        <w:rPr>
          <w:rFonts w:eastAsia="Times New Roman" w:cs="Times New Roman"/>
          <w:b/>
          <w:bCs/>
          <w:sz w:val="32"/>
          <w:szCs w:val="32"/>
        </w:rPr>
        <w:t>balances</w:t>
      </w:r>
      <w:r w:rsidRPr="00935EAC">
        <w:rPr>
          <w:rFonts w:eastAsia="Times New Roman" w:cs="Times New Roman"/>
          <w:b/>
          <w:bCs/>
          <w:sz w:val="32"/>
          <w:szCs w:val="32"/>
        </w:rPr>
        <w:t>?</w:t>
      </w:r>
      <w:r w:rsidR="00514562" w:rsidRPr="00935EAC">
        <w:rPr>
          <w:rStyle w:val="FootnoteReference"/>
          <w:rFonts w:ascii="Segoe UI Symbol" w:eastAsia="Times New Roman" w:hAnsi="Segoe UI Symbol" w:cs="Segoe UI Symbol"/>
          <w:b/>
          <w:bCs/>
          <w:sz w:val="32"/>
          <w:szCs w:val="32"/>
        </w:rPr>
        <w:footnoteReference w:customMarkFollows="1" w:id="1"/>
        <w:t>★</w:t>
      </w:r>
    </w:p>
    <w:p w14:paraId="7BEEBB3C" w14:textId="6DF3C5FD" w:rsidR="00514562" w:rsidRPr="00935EAC" w:rsidRDefault="005168EB" w:rsidP="007347B7">
      <w:pPr>
        <w:widowControl w:val="0"/>
        <w:autoSpaceDE w:val="0"/>
        <w:autoSpaceDN w:val="0"/>
        <w:spacing w:before="323" w:after="0" w:line="276" w:lineRule="auto"/>
        <w:jc w:val="both"/>
        <w:rPr>
          <w:rFonts w:eastAsia="Times New Roman" w:cs="Times New Roman"/>
          <w:sz w:val="17"/>
          <w:szCs w:val="24"/>
          <w:vertAlign w:val="subscript"/>
        </w:rPr>
      </w:pPr>
      <w:r w:rsidRPr="00935EAC">
        <w:rPr>
          <w:rFonts w:eastAsia="Times New Roman" w:cs="Times New Roman"/>
          <w:szCs w:val="24"/>
        </w:rPr>
        <w:t>Eric Clower</w:t>
      </w:r>
      <w:r w:rsidR="00514562" w:rsidRPr="00935EAC">
        <w:rPr>
          <w:rFonts w:eastAsia="Times New Roman" w:cs="Times New Roman"/>
          <w:position w:val="9"/>
          <w:sz w:val="17"/>
          <w:szCs w:val="24"/>
        </w:rPr>
        <w:t>a</w:t>
      </w:r>
      <w:r w:rsidR="00514562" w:rsidRPr="00935EAC">
        <w:rPr>
          <w:rFonts w:eastAsia="Times New Roman" w:cs="Times New Roman"/>
          <w:szCs w:val="24"/>
        </w:rPr>
        <w:t>,</w:t>
      </w:r>
      <w:r w:rsidR="00514562" w:rsidRPr="00935EAC">
        <w:rPr>
          <w:rFonts w:eastAsia="Times New Roman" w:cs="Times New Roman"/>
          <w:spacing w:val="-5"/>
          <w:szCs w:val="24"/>
        </w:rPr>
        <w:t xml:space="preserve"> </w:t>
      </w:r>
      <w:r w:rsidRPr="00935EAC">
        <w:rPr>
          <w:rFonts w:eastAsia="Times New Roman" w:cs="Times New Roman"/>
          <w:spacing w:val="-5"/>
          <w:szCs w:val="24"/>
        </w:rPr>
        <w:t>Hiro Ito</w:t>
      </w:r>
      <w:r w:rsidR="00514562" w:rsidRPr="00935EAC">
        <w:rPr>
          <w:rFonts w:eastAsia="Times New Roman" w:cs="Times New Roman"/>
          <w:spacing w:val="-5"/>
          <w:szCs w:val="24"/>
          <w:vertAlign w:val="superscript"/>
        </w:rPr>
        <w:t>b</w:t>
      </w:r>
      <w:r w:rsidR="00514562" w:rsidRPr="00935EAC">
        <w:rPr>
          <w:rFonts w:eastAsia="Times New Roman" w:cs="Times New Roman"/>
          <w:spacing w:val="-5"/>
          <w:szCs w:val="24"/>
        </w:rPr>
        <w:t xml:space="preserve">, </w:t>
      </w:r>
      <w:r w:rsidRPr="00935EAC">
        <w:rPr>
          <w:rFonts w:eastAsia="Times New Roman" w:cs="Times New Roman"/>
          <w:spacing w:val="-5"/>
          <w:szCs w:val="24"/>
        </w:rPr>
        <w:t>Jamel Saadaoui</w:t>
      </w:r>
      <w:r w:rsidR="00514562" w:rsidRPr="00935EAC">
        <w:rPr>
          <w:rFonts w:eastAsia="Times New Roman" w:cs="Times New Roman"/>
          <w:spacing w:val="-5"/>
          <w:szCs w:val="24"/>
          <w:vertAlign w:val="superscript"/>
        </w:rPr>
        <w:t>c</w:t>
      </w:r>
    </w:p>
    <w:p w14:paraId="1091DFBD" w14:textId="1FB64F09" w:rsidR="00514562" w:rsidRPr="00935EAC" w:rsidRDefault="00514562" w:rsidP="007347B7">
      <w:pPr>
        <w:widowControl w:val="0"/>
        <w:autoSpaceDE w:val="0"/>
        <w:autoSpaceDN w:val="0"/>
        <w:spacing w:before="186" w:after="0" w:line="276" w:lineRule="auto"/>
        <w:jc w:val="both"/>
        <w:rPr>
          <w:rFonts w:eastAsia="Times New Roman" w:cs="Times New Roman"/>
          <w:i/>
          <w:sz w:val="20"/>
        </w:rPr>
      </w:pPr>
      <w:r w:rsidRPr="00935EAC">
        <w:rPr>
          <w:rFonts w:eastAsia="Times New Roman" w:cs="Times New Roman"/>
          <w:i/>
          <w:position w:val="7"/>
          <w:sz w:val="14"/>
        </w:rPr>
        <w:t>a</w:t>
      </w:r>
      <w:r w:rsidR="00D03F05" w:rsidRPr="00935EAC">
        <w:t xml:space="preserve"> </w:t>
      </w:r>
      <w:r w:rsidR="00D03F05" w:rsidRPr="00935EAC">
        <w:rPr>
          <w:rFonts w:eastAsia="Times New Roman" w:cs="Times New Roman"/>
          <w:i/>
          <w:spacing w:val="-2"/>
          <w:sz w:val="20"/>
        </w:rPr>
        <w:t>Aptech Systems, Inc, PO Box 618, Higley, AZ 85236, USA</w:t>
      </w:r>
    </w:p>
    <w:p w14:paraId="77545398" w14:textId="77777777" w:rsidR="00D03F05" w:rsidRPr="00935EAC" w:rsidRDefault="00514562" w:rsidP="007347B7">
      <w:pPr>
        <w:widowControl w:val="0"/>
        <w:autoSpaceDE w:val="0"/>
        <w:autoSpaceDN w:val="0"/>
        <w:spacing w:after="0" w:line="276" w:lineRule="auto"/>
        <w:jc w:val="both"/>
        <w:rPr>
          <w:rFonts w:eastAsia="Times New Roman" w:cs="Times New Roman"/>
          <w:i/>
          <w:spacing w:val="-2"/>
          <w:sz w:val="20"/>
        </w:rPr>
      </w:pPr>
      <w:r w:rsidRPr="00935EAC">
        <w:rPr>
          <w:rFonts w:eastAsia="Times New Roman" w:cs="Times New Roman"/>
          <w:i/>
          <w:position w:val="7"/>
          <w:sz w:val="14"/>
        </w:rPr>
        <w:t>b</w:t>
      </w:r>
      <w:r w:rsidR="005168EB" w:rsidRPr="00935EAC">
        <w:t xml:space="preserve"> </w:t>
      </w:r>
      <w:r w:rsidR="005168EB" w:rsidRPr="00935EAC">
        <w:rPr>
          <w:rFonts w:eastAsia="Times New Roman" w:cs="Times New Roman"/>
          <w:i/>
          <w:spacing w:val="-2"/>
          <w:sz w:val="20"/>
        </w:rPr>
        <w:t>Department of Economics, Portland State University, 506 SW Mill Street, Urban Center Building, #450, Portland, OR, 97201, USA</w:t>
      </w:r>
    </w:p>
    <w:p w14:paraId="730DCA4D" w14:textId="51760A57" w:rsidR="00514562" w:rsidRPr="00935EAC" w:rsidRDefault="00514562" w:rsidP="007347B7">
      <w:pPr>
        <w:widowControl w:val="0"/>
        <w:autoSpaceDE w:val="0"/>
        <w:autoSpaceDN w:val="0"/>
        <w:spacing w:after="0" w:line="276" w:lineRule="auto"/>
        <w:jc w:val="both"/>
        <w:rPr>
          <w:rFonts w:eastAsia="Times New Roman" w:cs="Times New Roman"/>
          <w:i/>
          <w:spacing w:val="-2"/>
          <w:sz w:val="20"/>
        </w:rPr>
      </w:pPr>
      <w:r w:rsidRPr="00935EAC">
        <w:rPr>
          <w:rFonts w:eastAsia="Times New Roman" w:cs="Times New Roman"/>
          <w:i/>
          <w:position w:val="7"/>
          <w:sz w:val="14"/>
        </w:rPr>
        <w:t>c</w:t>
      </w:r>
      <w:r w:rsidR="000142DE" w:rsidRPr="00935EAC">
        <w:rPr>
          <w:rFonts w:eastAsia="Times New Roman" w:cs="Times New Roman"/>
          <w:i/>
          <w:spacing w:val="-2"/>
          <w:sz w:val="20"/>
        </w:rPr>
        <w:t>Paris 8 U</w:t>
      </w:r>
      <w:r w:rsidR="00D03F05" w:rsidRPr="00935EAC">
        <w:rPr>
          <w:rFonts w:eastAsia="Times New Roman" w:cs="Times New Roman"/>
          <w:i/>
          <w:spacing w:val="-2"/>
          <w:sz w:val="20"/>
        </w:rPr>
        <w:t>niversity, France</w:t>
      </w:r>
    </w:p>
    <w:p w14:paraId="570FB7F0" w14:textId="448555CE" w:rsidR="00D03F05" w:rsidRPr="00935EAC" w:rsidRDefault="00D03F05" w:rsidP="007347B7">
      <w:pPr>
        <w:widowControl w:val="0"/>
        <w:autoSpaceDE w:val="0"/>
        <w:autoSpaceDN w:val="0"/>
        <w:spacing w:after="0" w:line="276" w:lineRule="auto"/>
        <w:jc w:val="both"/>
        <w:rPr>
          <w:rFonts w:eastAsia="Times New Roman" w:cs="Times New Roman"/>
          <w:iCs/>
          <w:spacing w:val="-2"/>
          <w:sz w:val="20"/>
        </w:rPr>
      </w:pPr>
    </w:p>
    <w:p w14:paraId="7316D7CB" w14:textId="0A3A24CA" w:rsidR="00514562" w:rsidRPr="00935EAC" w:rsidRDefault="00514562" w:rsidP="007347B7">
      <w:pPr>
        <w:widowControl w:val="0"/>
        <w:autoSpaceDE w:val="0"/>
        <w:autoSpaceDN w:val="0"/>
        <w:spacing w:before="5" w:after="0" w:line="276" w:lineRule="auto"/>
        <w:jc w:val="both"/>
        <w:rPr>
          <w:rFonts w:eastAsia="Times New Roman" w:cs="Times New Roman"/>
          <w:i/>
          <w:sz w:val="20"/>
          <w:szCs w:val="24"/>
        </w:rPr>
      </w:pPr>
    </w:p>
    <w:p w14:paraId="4E616F45" w14:textId="77777777" w:rsidR="00514562" w:rsidRPr="00935EAC" w:rsidRDefault="00514562" w:rsidP="007347B7">
      <w:pPr>
        <w:widowControl w:val="0"/>
        <w:pBdr>
          <w:top w:val="single" w:sz="4" w:space="0" w:color="auto"/>
        </w:pBdr>
        <w:autoSpaceDE w:val="0"/>
        <w:autoSpaceDN w:val="0"/>
        <w:spacing w:before="179" w:after="0" w:line="276" w:lineRule="auto"/>
        <w:jc w:val="both"/>
        <w:outlineLvl w:val="0"/>
        <w:rPr>
          <w:rFonts w:eastAsia="Times New Roman" w:cs="Times New Roman"/>
          <w:b/>
          <w:bCs/>
          <w:spacing w:val="-2"/>
          <w:szCs w:val="24"/>
        </w:rPr>
      </w:pPr>
      <w:r w:rsidRPr="00935EAC">
        <w:rPr>
          <w:rFonts w:eastAsia="Times New Roman" w:cs="Times New Roman"/>
          <w:b/>
          <w:bCs/>
          <w:spacing w:val="-2"/>
          <w:szCs w:val="24"/>
        </w:rPr>
        <w:t>Abstract</w:t>
      </w:r>
    </w:p>
    <w:p w14:paraId="306E1317" w14:textId="0737345D" w:rsidR="00514562" w:rsidRPr="00935EAC" w:rsidRDefault="00514562" w:rsidP="58085007">
      <w:pPr>
        <w:widowControl w:val="0"/>
        <w:autoSpaceDE w:val="0"/>
        <w:autoSpaceDN w:val="0"/>
        <w:spacing w:after="0" w:line="276" w:lineRule="auto"/>
        <w:jc w:val="both"/>
        <w:rPr>
          <w:rFonts w:eastAsia="Times New Roman" w:cs="Times New Roman"/>
          <w:sz w:val="22"/>
        </w:rPr>
      </w:pPr>
      <w:r>
        <w:t>This paper examines the structural determinants of current account balance (CAB) dynamics for a panel of 74 countries spanning 1971–2023. We characterize external adjustment behavior through a two-stage empirical strategy. In the first stage, we estimate country-specific Markov switching autoregressive models that classify each country-year observation into one of three dynamic regimes — explosive, unit root, or stationary — allowing persistence, mean, and volatility to switch independently. In the second stage, we estimate a multinomial logit model to identify the structural factors that predict regime membership. Fixed exchange rate arrangements reduce the probability of explosive current account dynamics by approximately nine percentage points on average, while manufacturing export specialization and trade openness increase it. These effects operate primarily through the explosive-versus-non-explosive channel. Within the stable regime space, the same structural variables do not reliably distinguish stationary from unit root behavior. Model fit is substantially higher for emerging market economies, indicating that exchange rate and trade policy are most consequential for middle-income countries. These findings contribute to the understanding of how macroeconomic policy frameworks shape the dynamics of external adjustment.</w:t>
      </w:r>
    </w:p>
    <w:p w14:paraId="4EC0C194" w14:textId="77777777" w:rsidR="004E4FE1" w:rsidRPr="00935EAC" w:rsidRDefault="004E4FE1" w:rsidP="00FD4624">
      <w:pPr>
        <w:widowControl w:val="0"/>
        <w:autoSpaceDE w:val="0"/>
        <w:autoSpaceDN w:val="0"/>
        <w:spacing w:after="0" w:line="276" w:lineRule="auto"/>
        <w:jc w:val="both"/>
        <w:rPr>
          <w:rFonts w:eastAsia="Times New Roman" w:cs="Times New Roman"/>
          <w:sz w:val="22"/>
        </w:rPr>
      </w:pPr>
    </w:p>
    <w:p w14:paraId="15C6E845" w14:textId="77777777" w:rsidR="004E4FE1" w:rsidRPr="00935EAC" w:rsidRDefault="004E4FE1" w:rsidP="007347B7">
      <w:pPr>
        <w:widowControl w:val="0"/>
        <w:autoSpaceDE w:val="0"/>
        <w:autoSpaceDN w:val="0"/>
        <w:spacing w:after="0" w:line="276" w:lineRule="auto"/>
        <w:jc w:val="both"/>
        <w:rPr>
          <w:rFonts w:eastAsia="Times New Roman" w:cs="Times New Roman"/>
          <w:sz w:val="22"/>
        </w:rPr>
      </w:pPr>
    </w:p>
    <w:p w14:paraId="09DF202B" w14:textId="77777777" w:rsidR="00514562" w:rsidRPr="00935EAC" w:rsidRDefault="00514562" w:rsidP="007347B7">
      <w:pPr>
        <w:widowControl w:val="0"/>
        <w:autoSpaceDE w:val="0"/>
        <w:autoSpaceDN w:val="0"/>
        <w:spacing w:before="116" w:after="0" w:line="276" w:lineRule="auto"/>
        <w:jc w:val="both"/>
        <w:rPr>
          <w:rFonts w:eastAsia="Times New Roman" w:cs="Times New Roman"/>
          <w:szCs w:val="24"/>
        </w:rPr>
      </w:pPr>
      <w:r w:rsidRPr="00935EAC">
        <w:rPr>
          <w:rFonts w:eastAsia="Times New Roman" w:cs="Times New Roman"/>
          <w:i/>
          <w:szCs w:val="24"/>
        </w:rPr>
        <w:t>Keywords:</w:t>
      </w:r>
      <w:r w:rsidRPr="00935EAC">
        <w:rPr>
          <w:rFonts w:eastAsia="Times New Roman" w:cs="Times New Roman"/>
          <w:i/>
          <w:spacing w:val="51"/>
          <w:szCs w:val="24"/>
        </w:rPr>
        <w:t xml:space="preserve"> </w:t>
      </w:r>
    </w:p>
    <w:p w14:paraId="4FE1B7AF" w14:textId="331FFE39" w:rsidR="00514562" w:rsidRPr="00935EAC" w:rsidRDefault="00514562" w:rsidP="007347B7">
      <w:pPr>
        <w:widowControl w:val="0"/>
        <w:pBdr>
          <w:bottom w:val="single" w:sz="4" w:space="1" w:color="auto"/>
        </w:pBdr>
        <w:autoSpaceDE w:val="0"/>
        <w:autoSpaceDN w:val="0"/>
        <w:spacing w:before="13" w:after="0" w:line="276" w:lineRule="auto"/>
        <w:jc w:val="both"/>
        <w:rPr>
          <w:rFonts w:eastAsia="Times New Roman" w:cs="Times New Roman"/>
          <w:szCs w:val="24"/>
        </w:rPr>
      </w:pPr>
      <w:r w:rsidRPr="00935EAC">
        <w:rPr>
          <w:rFonts w:eastAsia="Times New Roman" w:cs="Times New Roman"/>
          <w:i/>
          <w:szCs w:val="24"/>
        </w:rPr>
        <w:t>JEL:</w:t>
      </w:r>
      <w:r w:rsidRPr="00935EAC">
        <w:rPr>
          <w:rFonts w:eastAsia="Times New Roman" w:cs="Times New Roman"/>
          <w:i/>
          <w:spacing w:val="-8"/>
          <w:szCs w:val="24"/>
        </w:rPr>
        <w:t xml:space="preserve"> </w:t>
      </w:r>
      <w:r w:rsidR="0072430D" w:rsidRPr="00935EAC">
        <w:rPr>
          <w:rFonts w:eastAsia="Times New Roman" w:cs="Times New Roman"/>
          <w:i/>
          <w:spacing w:val="-8"/>
          <w:szCs w:val="24"/>
        </w:rPr>
        <w:t>F32, F41</w:t>
      </w:r>
    </w:p>
    <w:p w14:paraId="215098E8" w14:textId="6307DA3C" w:rsidR="00514562" w:rsidRPr="00935EAC" w:rsidRDefault="00514562" w:rsidP="007347B7">
      <w:pPr>
        <w:widowControl w:val="0"/>
        <w:tabs>
          <w:tab w:val="left" w:pos="3070"/>
        </w:tabs>
        <w:autoSpaceDE w:val="0"/>
        <w:autoSpaceDN w:val="0"/>
        <w:spacing w:after="0" w:line="276" w:lineRule="auto"/>
        <w:jc w:val="both"/>
        <w:rPr>
          <w:rFonts w:eastAsia="Times New Roman" w:cs="Times New Roman"/>
          <w:sz w:val="20"/>
          <w:szCs w:val="36"/>
        </w:rPr>
      </w:pPr>
    </w:p>
    <w:p w14:paraId="2C06B813" w14:textId="57EFDC5E" w:rsidR="00FE1366" w:rsidRPr="00935EAC" w:rsidRDefault="00FE1366" w:rsidP="0073265E">
      <w:pPr>
        <w:jc w:val="both"/>
        <w:rPr>
          <w:rFonts w:eastAsia="Times New Roman" w:cs="Times New Roman"/>
          <w:sz w:val="20"/>
          <w:szCs w:val="24"/>
        </w:rPr>
      </w:pPr>
      <w:r w:rsidRPr="00935EAC">
        <w:rPr>
          <w:rFonts w:eastAsia="Times New Roman" w:cs="Times New Roman"/>
          <w:sz w:val="20"/>
          <w:szCs w:val="24"/>
        </w:rPr>
        <w:br w:type="page"/>
      </w:r>
    </w:p>
    <w:p w14:paraId="0637B77B" w14:textId="2ABC2E2D" w:rsidR="00C97140" w:rsidRPr="007347B7" w:rsidRDefault="00655C94" w:rsidP="00E027C4">
      <w:pPr>
        <w:spacing w:before="100" w:beforeAutospacing="1" w:after="100" w:afterAutospacing="1"/>
        <w:jc w:val="both"/>
        <w:rPr>
          <w:bCs/>
        </w:rPr>
      </w:pPr>
      <w:r w:rsidRPr="00E027C4">
        <w:rPr>
          <w:rFonts w:eastAsia="Times New Roman"/>
          <w:b/>
          <w:bCs/>
        </w:rPr>
        <w:lastRenderedPageBreak/>
        <w:t xml:space="preserve">1. </w:t>
      </w:r>
      <w:bookmarkStart w:id="0" w:name="Introduction"/>
      <w:bookmarkEnd w:id="0"/>
      <w:r w:rsidR="00514562" w:rsidRPr="00E027C4">
        <w:rPr>
          <w:b/>
          <w:bCs/>
        </w:rPr>
        <w:t>Introduction</w:t>
      </w:r>
    </w:p>
    <w:p w14:paraId="261929C6" w14:textId="5C52E0C4" w:rsidR="006755F2" w:rsidRPr="006755F2" w:rsidRDefault="3F82F0DF" w:rsidP="3F82F0DF">
      <w:pPr>
        <w:spacing w:before="100" w:beforeAutospacing="1" w:after="100" w:afterAutospacing="1"/>
        <w:jc w:val="both"/>
        <w:rPr>
          <w:rFonts w:eastAsia="Times New Roman" w:cs="Times New Roman"/>
        </w:rPr>
      </w:pPr>
      <w:r w:rsidRPr="3F82F0DF">
        <w:rPr>
          <w:rFonts w:eastAsia="Times New Roman" w:cs="Times New Roman"/>
        </w:rPr>
        <w:t xml:space="preserve">The persistence of global current account imbalances has long been an important policy concern for policymakers and academics, particularly in advanced economies. Whether in the aftermath of the Great Recession of 2008, during the European sovereign debt crisis of 2010–2012, or in the current era of geoeconomic fragmentation, economists have repeatedly expressed concern about the durability of large external imbalances. At times, these concerns have spilled over into financial markets, contributing to credit rating downgrades or speculative pressures on sovereign debt. This is not solely a developing country issue: in May 2025, Moody’s downgraded the credit rating of the United States. Such developments can, in turn, constrain fiscal policy, limiting governments’ ability to deploy countercyclical stimulus when it is most needed. </w:t>
      </w:r>
      <w:r w:rsidR="0063059B" w:rsidRPr="3F82F0DF">
        <w:rPr>
          <w:rFonts w:eastAsia="Times New Roman" w:cs="Times New Roman"/>
        </w:rPr>
        <w:t>Maintaining</w:t>
      </w:r>
      <w:r w:rsidRPr="3F82F0DF">
        <w:rPr>
          <w:rFonts w:eastAsia="Times New Roman" w:cs="Times New Roman"/>
        </w:rPr>
        <w:t xml:space="preserve"> current account surpluses and accumulating international reserves have historically been associated with greater resilience during periods of monetary tightening (Aizenman et al. 2024, </w:t>
      </w:r>
      <w:r w:rsidR="00830BAC">
        <w:rPr>
          <w:rFonts w:eastAsia="Times New Roman" w:cs="Times New Roman"/>
        </w:rPr>
        <w:t xml:space="preserve">Aizenman </w:t>
      </w:r>
      <w:r w:rsidR="00830BAC" w:rsidRPr="00830BAC">
        <w:rPr>
          <w:rFonts w:eastAsia="Times New Roman" w:cs="Times New Roman"/>
        </w:rPr>
        <w:t>and Saadaoui</w:t>
      </w:r>
      <w:r w:rsidR="00830BAC">
        <w:rPr>
          <w:rFonts w:eastAsia="Times New Roman" w:cs="Times New Roman"/>
        </w:rPr>
        <w:t xml:space="preserve"> </w:t>
      </w:r>
      <w:r w:rsidRPr="3F82F0DF">
        <w:rPr>
          <w:rFonts w:eastAsia="Times New Roman" w:cs="Times New Roman"/>
        </w:rPr>
        <w:t>2025). A similar logic applies during episodes of financial stress.</w:t>
      </w:r>
    </w:p>
    <w:p w14:paraId="2E644FF2" w14:textId="3558EC04" w:rsidR="006755F2" w:rsidRPr="006755F2" w:rsidRDefault="5491219E" w:rsidP="3F82F0DF">
      <w:pPr>
        <w:spacing w:before="100" w:beforeAutospacing="1" w:after="100" w:afterAutospacing="1"/>
        <w:jc w:val="both"/>
        <w:rPr>
          <w:rFonts w:eastAsia="Times New Roman" w:cs="Times New Roman"/>
        </w:rPr>
      </w:pPr>
      <w:r w:rsidRPr="5491219E">
        <w:rPr>
          <w:rFonts w:eastAsia="Times New Roman" w:cs="Times New Roman"/>
        </w:rPr>
        <w:t>During the Great Recession of 2008 and the pandemic induced recession of 2020, many countries sought international financial assistance to maintain solvency or relied on central bank swap lines to secure short-term liquidity. Yet while some countries struggled to meet their debt obligations, others accumulated savings and were more insulated from financial turmoil. Following the post–Great Recession correction, global current account imbalances have once again widened, with the IMF (2025) reporting a global current account expansion of 0.6 percentage points of world GDP. Prior to the Great Recession, persistent external deficits in several advanced economies—most notably the United States—were financed by excess savings from emerging market economies, particularly the People’s Republic of China (PRC), as well as from oil exporting countries. These imbalanced capital flows enabled some economies to sustain large and persistent current account deficits, financed by the equally persistent surpluses of others.</w:t>
      </w:r>
    </w:p>
    <w:p w14:paraId="595BC789" w14:textId="5E647571" w:rsidR="006755F2" w:rsidRPr="006755F2" w:rsidRDefault="3F82F0DF" w:rsidP="3F82F0DF">
      <w:pPr>
        <w:spacing w:before="100" w:beforeAutospacing="1" w:after="100" w:afterAutospacing="1"/>
        <w:jc w:val="both"/>
        <w:rPr>
          <w:rFonts w:eastAsia="Times New Roman" w:cs="Times New Roman"/>
        </w:rPr>
      </w:pPr>
      <w:r w:rsidRPr="3F82F0DF">
        <w:rPr>
          <w:rFonts w:eastAsia="Times New Roman" w:cs="Times New Roman"/>
        </w:rPr>
        <w:t xml:space="preserve">A substantial literature has examined the origins of these global imbalances. </w:t>
      </w:r>
      <w:r w:rsidR="00D674E5" w:rsidRPr="00D674E5">
        <w:rPr>
          <w:rFonts w:eastAsia="Times New Roman" w:cs="Times New Roman"/>
        </w:rPr>
        <w:t>Chinn, Eichengreen, and Ito</w:t>
      </w:r>
      <w:r w:rsidRPr="3F82F0DF">
        <w:rPr>
          <w:rFonts w:eastAsia="Times New Roman" w:cs="Times New Roman"/>
        </w:rPr>
        <w:t xml:space="preserve"> (20</w:t>
      </w:r>
      <w:r w:rsidR="00D674E5">
        <w:rPr>
          <w:rFonts w:eastAsia="Times New Roman" w:cs="Times New Roman"/>
        </w:rPr>
        <w:t>4</w:t>
      </w:r>
      <w:r w:rsidRPr="3F82F0DF">
        <w:rPr>
          <w:rFonts w:eastAsia="Times New Roman" w:cs="Times New Roman"/>
        </w:rPr>
        <w:t>), among others, emphasizes that multiple factors interact to generate “uphill” capital flows—from developing countries with higher marginal returns to advanced economies with lower returns but deeper and more sophisticated financial markets—an outcome often associated with the Lucas (1990) paradox. The global financial crisis and the subsequent European debt crisis, however, underscored the fragility of this configuration. Shifts in global financial conditions can abruptly reverse capital flows, with disruptive consequences for real economic activity. Conversely, sustained and asymmetric capital flows may render the global economy vulnerable to crisis, as observed in the pre2008 period. In this environment, examining the country specific determinants of persistent current account deficits and surpluses can yield deeper insights into the dynamics of global imbalances and the stability of the international financial system.</w:t>
      </w:r>
    </w:p>
    <w:p w14:paraId="3102BDB2" w14:textId="7F50F78C" w:rsidR="006755F2" w:rsidRPr="006755F2" w:rsidRDefault="3F82F0DF" w:rsidP="3F82F0DF">
      <w:pPr>
        <w:spacing w:before="100" w:beforeAutospacing="1" w:after="100" w:afterAutospacing="1"/>
        <w:jc w:val="both"/>
        <w:rPr>
          <w:rFonts w:eastAsia="Times New Roman" w:cs="Times New Roman"/>
        </w:rPr>
      </w:pPr>
      <w:r w:rsidRPr="3F82F0DF">
        <w:rPr>
          <w:rFonts w:eastAsia="Times New Roman" w:cs="Times New Roman"/>
        </w:rPr>
        <w:t xml:space="preserve">In theory, a country’s current account should evolve in a manner consistent with the long-run intertemporal budget constraint (LRBC). Building on Feldstein and Horioka (1980), Taylor (2002) argues that the LRBC implies a strong long-run relationship between saving and investment as economies converge toward steady state. This does not preclude short-run deviations from the LRBC, which may arise from macroeconomic shocks, policy changes, or institutional reforms affecting saving and investment behavior. </w:t>
      </w:r>
      <w:r w:rsidRPr="3F82F0DF">
        <w:rPr>
          <w:rFonts w:eastAsia="Times New Roman" w:cs="Times New Roman"/>
        </w:rPr>
        <w:lastRenderedPageBreak/>
        <w:t>As Taylor (2002) emphasizes, even within the intertemporal framework, countries may experience periods of seemingly “unsustainable” current account behavior without violating the long-run constraint.</w:t>
      </w:r>
    </w:p>
    <w:p w14:paraId="513410DB" w14:textId="610C1C1F" w:rsidR="006755F2" w:rsidRPr="006755F2" w:rsidRDefault="3F82F0DF" w:rsidP="3F82F0DF">
      <w:pPr>
        <w:spacing w:before="100" w:beforeAutospacing="1" w:after="100" w:afterAutospacing="1"/>
        <w:jc w:val="both"/>
        <w:rPr>
          <w:rFonts w:eastAsia="Times New Roman" w:cs="Times New Roman"/>
        </w:rPr>
      </w:pPr>
      <w:r w:rsidRPr="3F82F0DF">
        <w:rPr>
          <w:rFonts w:eastAsia="Times New Roman" w:cs="Times New Roman"/>
        </w:rPr>
        <w:t xml:space="preserve">Empirical assessments of current account sustainability have nevertheless produced mixed and often inconclusive results. This ambiguity may reflect methodological inconsistencies across studies or a failure to distinguish clearly between long-run sustainability and short-run dynamics. In particular, rejecting long-run sustainability </w:t>
      </w:r>
      <w:r w:rsidR="0063059B" w:rsidRPr="3F82F0DF">
        <w:rPr>
          <w:rFonts w:eastAsia="Times New Roman" w:cs="Times New Roman"/>
        </w:rPr>
        <w:t>based on</w:t>
      </w:r>
      <w:r w:rsidRPr="3F82F0DF">
        <w:rPr>
          <w:rFonts w:eastAsia="Times New Roman" w:cs="Times New Roman"/>
        </w:rPr>
        <w:t xml:space="preserve"> short-run, non-stationarity risks conflating temporary deviations from the LRBC with genuine violations of the intertemporal constraint. Distinguishing between these concepts is therefore essential for a meaningful assessment of external balance.</w:t>
      </w:r>
    </w:p>
    <w:p w14:paraId="55778E6E" w14:textId="77777777" w:rsidR="006755F2" w:rsidRPr="006755F2" w:rsidRDefault="006755F2" w:rsidP="006755F2">
      <w:pPr>
        <w:spacing w:before="100" w:beforeAutospacing="1" w:after="100" w:afterAutospacing="1"/>
        <w:jc w:val="both"/>
        <w:rPr>
          <w:rFonts w:eastAsia="Times New Roman" w:cs="Times New Roman"/>
          <w:szCs w:val="24"/>
        </w:rPr>
      </w:pPr>
      <w:r w:rsidRPr="006755F2">
        <w:rPr>
          <w:rFonts w:eastAsia="Times New Roman" w:cs="Times New Roman"/>
          <w:szCs w:val="24"/>
        </w:rPr>
        <w:t>Even when current account balances exhibit mean reversion—either globally or locally—the degree of persistence can vary substantially across countries and over time. As we show below, in the period leading up to the Great Recession, both surplus and deficit countries experienced highly persistent current account imbalances. Persistence alone does not necessarily imply immediate concerns about external debt sustainability; the speed and nature of adjustment depend on macroeconomic policy frameworks and institutional characteristics. For example, the PRC’s prolonged current account surplus and quasi</w:t>
      </w:r>
      <w:r w:rsidRPr="006755F2">
        <w:rPr>
          <w:rFonts w:eastAsia="Times New Roman" w:cs="Times New Roman"/>
          <w:szCs w:val="24"/>
        </w:rPr>
        <w:noBreakHyphen/>
        <w:t>fixed exchange rate regime prior to 2008 raised questions about whether exchange rate arrangements influence current account persistence. Chinn and Wei (2013) find no systematic relationship between exchange rate regime flexibility and the speed of current account adjustment, challenging the conventional view that flexible exchange rates necessarily facilitate external rebalancing. Beyond exchange rate regimes, however, relatively little is known about the structural factors that shape the persistence of current account dynamics.</w:t>
      </w:r>
    </w:p>
    <w:p w14:paraId="669FE8E0" w14:textId="6583DC0E" w:rsidR="006755F2" w:rsidRPr="006755F2" w:rsidRDefault="58085007" w:rsidP="58085007">
      <w:pPr>
        <w:spacing w:before="100" w:beforeAutospacing="1" w:after="100" w:afterAutospacing="1"/>
        <w:jc w:val="both"/>
        <w:rPr>
          <w:rFonts w:eastAsia="Times New Roman" w:cs="Times New Roman"/>
        </w:rPr>
      </w:pPr>
      <w:r w:rsidRPr="58085007">
        <w:rPr>
          <w:rFonts w:eastAsia="Times New Roman" w:cs="Times New Roman"/>
        </w:rPr>
        <w:t>Against this backdrop, this paper examines the dynamics of current account balances using a large quarterly dataset covering 77 countries. Our analysis focuses on persistence and the structural factors that govern it. First, we reassess the stationarity of current account balances expressed as a share of GDP. Standard linear unit root tests indicate that current account series are non-stationary for many countries, contrary to theoretical predictions. Second, we investigate whether this apparent non-stationarity reflects regime shifts in persistence, following a growing literature that applies Markov switching models to current account dynamics (Taylor 2002; Raybaudi et al. 2004; Chen 2011; Poulakis and Kyrkilis 2024). Finally, we examine whether the likelihood of entering different persistence regimes, particularly the explosive regime, where external dynamics become destabilizing, can be explained by cross-sectional and temporal variation in macroeconomic policies, institutional characteristics, and structural fundamentals. We show that structural factors are most informative for explaining which countries enter explosive adjustment paths; within the stable regime space, the same variables do not reliably distinguish stationary from unit-root behavior.</w:t>
      </w:r>
    </w:p>
    <w:p w14:paraId="5D24A9E4" w14:textId="7FCD6A61" w:rsidR="002E65B3" w:rsidRDefault="58085007" w:rsidP="58085007">
      <w:pPr>
        <w:spacing w:before="100" w:beforeAutospacing="1" w:after="100" w:afterAutospacing="1"/>
        <w:jc w:val="both"/>
        <w:rPr>
          <w:rFonts w:eastAsia="Times New Roman" w:cs="Times New Roman"/>
        </w:rPr>
      </w:pPr>
      <w:r w:rsidRPr="58085007">
        <w:rPr>
          <w:rFonts w:eastAsia="Times New Roman" w:cs="Times New Roman"/>
        </w:rPr>
        <w:t xml:space="preserve">Our paper extends a small but growing literature that applies Markov switching models to current account dynamics. Earlier work in this field studied current account persistence using two-state Markov switching classifications and identified structural predictors of entry into a random-walk regime. Our contribution relative to that work is threefold. First, we adopt the independent-switching specification of Morita et al. (2024), which allows persistence, mean, and volatility to switch separately across regimes. This prevents changes in mean or volatility from being spuriously attributed to persistence shifts, a problem that biases </w:t>
      </w:r>
      <w:r w:rsidRPr="58085007">
        <w:rPr>
          <w:rFonts w:eastAsia="Times New Roman" w:cs="Times New Roman"/>
        </w:rPr>
        <w:lastRenderedPageBreak/>
        <w:t>classification in standard two-state models. Second, we extend to a three-regime framework that isolates an explosive tail separately from persistent-but-bounded dynamics. The two-state (stationary vs. random walk) framework cannot produce the central result of this paper, that structural variables matter primarily for explosive regime entry rather than for the stationary-unit-root distinction. Third, we add a formal multinomial logit second stage with cross-validated model selection and multiple robustness checks, including a binary logit that precisely bounds what the model can and cannot explain.</w:t>
      </w:r>
    </w:p>
    <w:p w14:paraId="05917A06" w14:textId="231A1DB7" w:rsidR="00C93255" w:rsidRPr="006755F2" w:rsidRDefault="5491219E" w:rsidP="5491219E">
      <w:pPr>
        <w:spacing w:before="100" w:beforeAutospacing="1" w:after="100" w:afterAutospacing="1"/>
        <w:jc w:val="both"/>
        <w:rPr>
          <w:rFonts w:eastAsia="Times New Roman" w:cs="Times New Roman"/>
        </w:rPr>
      </w:pPr>
      <w:r w:rsidRPr="5491219E">
        <w:rPr>
          <w:rFonts w:eastAsia="Times New Roman" w:cs="Times New Roman"/>
        </w:rPr>
        <w:t>Our main findings are threefold. Fixed exchange rate arrangements reduce the probability of explosive current account dynamics by approximately nine percentage points, while manufacturing export specialization and trade openness increase it. Crucially, the model fits substantially better for emerging market economies (McFadden R² = 0.19) than for the full sample (0.05), indicating that exchange rate and trade policy are most consequential for middle-income countries, where institutional constraints on external adjustment are less deeply entrenched than in advanced economies.</w:t>
      </w:r>
    </w:p>
    <w:p w14:paraId="2829162B" w14:textId="0D3808BD" w:rsidR="00514562" w:rsidRPr="007347B7" w:rsidRDefault="00DD5DFD" w:rsidP="00E027C4">
      <w:pPr>
        <w:spacing w:before="100" w:beforeAutospacing="1" w:after="100" w:afterAutospacing="1"/>
        <w:jc w:val="both"/>
        <w:rPr>
          <w:bCs/>
        </w:rPr>
      </w:pPr>
      <w:r w:rsidRPr="00E027C4">
        <w:rPr>
          <w:rFonts w:eastAsia="Times New Roman"/>
          <w:b/>
          <w:bCs/>
        </w:rPr>
        <w:t xml:space="preserve">2. </w:t>
      </w:r>
      <w:bookmarkStart w:id="1" w:name="Literature_review"/>
      <w:bookmarkStart w:id="2" w:name="_bookmark1"/>
      <w:bookmarkEnd w:id="1"/>
      <w:bookmarkEnd w:id="2"/>
      <w:r w:rsidR="00B75B8F" w:rsidRPr="00E027C4">
        <w:rPr>
          <w:b/>
          <w:bCs/>
        </w:rPr>
        <w:t>Current account persistency: facts and theory</w:t>
      </w:r>
    </w:p>
    <w:p w14:paraId="405C689D" w14:textId="4B6F032B" w:rsidR="000E221A" w:rsidRPr="007347B7" w:rsidRDefault="00DD5DFD" w:rsidP="00E027C4">
      <w:pPr>
        <w:spacing w:before="100" w:beforeAutospacing="1" w:after="100" w:afterAutospacing="1"/>
        <w:jc w:val="both"/>
        <w:rPr>
          <w:rFonts w:eastAsia="Times New Roman"/>
          <w:bCs/>
        </w:rPr>
      </w:pPr>
      <w:r w:rsidRPr="00E027C4">
        <w:rPr>
          <w:rFonts w:eastAsia="Times New Roman"/>
          <w:b/>
          <w:bCs/>
        </w:rPr>
        <w:t xml:space="preserve">2.1. </w:t>
      </w:r>
      <w:r w:rsidR="003F28AE" w:rsidRPr="00E027C4">
        <w:rPr>
          <w:rFonts w:eastAsia="Times New Roman"/>
          <w:b/>
          <w:bCs/>
        </w:rPr>
        <w:t xml:space="preserve">Facts: </w:t>
      </w:r>
      <w:r w:rsidR="004C3D0C" w:rsidRPr="00E027C4">
        <w:rPr>
          <w:rFonts w:eastAsia="Times New Roman"/>
          <w:b/>
          <w:bCs/>
        </w:rPr>
        <w:t>Current Account Divergence and Persistency</w:t>
      </w:r>
    </w:p>
    <w:p w14:paraId="01D9B7EC" w14:textId="60594B8F" w:rsidR="006755F2" w:rsidRDefault="5491219E" w:rsidP="5491219E">
      <w:pPr>
        <w:widowControl w:val="0"/>
        <w:autoSpaceDE w:val="0"/>
        <w:autoSpaceDN w:val="0"/>
        <w:spacing w:before="100" w:beforeAutospacing="1" w:after="100" w:afterAutospacing="1" w:line="276" w:lineRule="auto"/>
        <w:ind w:right="58"/>
        <w:jc w:val="both"/>
        <w:rPr>
          <w:rFonts w:eastAsia="Times New Roman" w:cs="Times New Roman"/>
        </w:rPr>
      </w:pPr>
      <w:r w:rsidRPr="5491219E">
        <w:rPr>
          <w:rFonts w:eastAsia="Times New Roman" w:cs="Times New Roman"/>
        </w:rPr>
        <w:t>As international financial markets have become increasingly integrated, current account balances have grown more divergent across countries. Financial globalization has facilitated access to cross-border capital flows, allowing countries to partially delink domestic saving and investment (Feldstein and Horioka 1980; Faruqee and Lee 2009). As a result, both the magnitude and dispersion of current account imbalances have increased over time.</w:t>
      </w:r>
    </w:p>
    <w:p w14:paraId="78B379F8" w14:textId="5B947B00" w:rsidR="006755F2" w:rsidRPr="006755F2" w:rsidRDefault="5491219E" w:rsidP="5491219E">
      <w:pPr>
        <w:widowControl w:val="0"/>
        <w:autoSpaceDE w:val="0"/>
        <w:autoSpaceDN w:val="0"/>
        <w:spacing w:before="100" w:beforeAutospacing="1" w:after="100" w:afterAutospacing="1" w:line="276" w:lineRule="auto"/>
        <w:ind w:right="58" w:firstLine="22"/>
        <w:jc w:val="both"/>
        <w:rPr>
          <w:rFonts w:eastAsia="Times New Roman" w:cs="Times New Roman"/>
        </w:rPr>
      </w:pPr>
      <w:r w:rsidRPr="5491219E">
        <w:rPr>
          <w:rFonts w:eastAsia="Times New Roman" w:cs="Times New Roman"/>
        </w:rPr>
        <w:t>Figure 1 illustrates the evolution of global current account imbalances using two summary statistics computed across our sample of 77 countries: the cross-sectional mean of absolute current account balances (expressed as a share of GDP) and the corresponding cross-country standard deviation. The figure highlights a steady increase in the typical size of imbalances across three broad periods—pre1970, 1975–1994, and 1995–September 2008. Following the Global Financial Crisis, the mean absolute imbalance declines modestly but remains elevated relative to earlier decades. The growth in the cross-sectional standard deviation further underscores the widening dispersion of current account positions, reflecting increasingly asymmetric external balances across countries.</w:t>
      </w:r>
    </w:p>
    <w:p w14:paraId="0AA94763" w14:textId="570F6C63" w:rsidR="00D15B87" w:rsidRPr="00D15B87" w:rsidRDefault="00D15B87" w:rsidP="00D15B87">
      <w:pPr>
        <w:pStyle w:val="Caption"/>
        <w:keepNext/>
        <w:jc w:val="center"/>
        <w:rPr>
          <w:b/>
          <w:bCs/>
          <w:i w:val="0"/>
          <w:iCs w:val="0"/>
          <w:color w:val="auto"/>
          <w:sz w:val="24"/>
          <w:szCs w:val="24"/>
        </w:rPr>
      </w:pPr>
      <w:r w:rsidRPr="00D15B87">
        <w:rPr>
          <w:b/>
          <w:bCs/>
          <w:i w:val="0"/>
          <w:iCs w:val="0"/>
          <w:color w:val="auto"/>
          <w:sz w:val="24"/>
          <w:szCs w:val="24"/>
        </w:rPr>
        <w:lastRenderedPageBreak/>
        <w:t xml:space="preserve">Figure </w:t>
      </w:r>
      <w:r w:rsidRPr="00D15B87">
        <w:rPr>
          <w:b/>
          <w:bCs/>
          <w:i w:val="0"/>
          <w:iCs w:val="0"/>
          <w:color w:val="auto"/>
          <w:sz w:val="24"/>
          <w:szCs w:val="24"/>
        </w:rPr>
        <w:fldChar w:fldCharType="begin"/>
      </w:r>
      <w:r w:rsidRPr="00D15B87">
        <w:rPr>
          <w:b/>
          <w:bCs/>
          <w:i w:val="0"/>
          <w:iCs w:val="0"/>
          <w:color w:val="auto"/>
          <w:sz w:val="24"/>
          <w:szCs w:val="24"/>
        </w:rPr>
        <w:instrText xml:space="preserve"> SEQ Figure \* ARABIC </w:instrText>
      </w:r>
      <w:r w:rsidRPr="00D15B87">
        <w:rPr>
          <w:b/>
          <w:bCs/>
          <w:i w:val="0"/>
          <w:iCs w:val="0"/>
          <w:color w:val="auto"/>
          <w:sz w:val="24"/>
          <w:szCs w:val="24"/>
        </w:rPr>
        <w:fldChar w:fldCharType="separate"/>
      </w:r>
      <w:r w:rsidR="000A67C2">
        <w:rPr>
          <w:b/>
          <w:bCs/>
          <w:i w:val="0"/>
          <w:iCs w:val="0"/>
          <w:noProof/>
          <w:color w:val="auto"/>
          <w:sz w:val="24"/>
          <w:szCs w:val="24"/>
        </w:rPr>
        <w:t>1</w:t>
      </w:r>
      <w:r w:rsidRPr="00D15B87">
        <w:rPr>
          <w:b/>
          <w:bCs/>
          <w:i w:val="0"/>
          <w:iCs w:val="0"/>
          <w:color w:val="auto"/>
          <w:sz w:val="24"/>
          <w:szCs w:val="24"/>
        </w:rPr>
        <w:fldChar w:fldCharType="end"/>
      </w:r>
      <w:r w:rsidRPr="00D15B87">
        <w:rPr>
          <w:b/>
          <w:bCs/>
          <w:i w:val="0"/>
          <w:iCs w:val="0"/>
          <w:color w:val="auto"/>
          <w:sz w:val="24"/>
          <w:szCs w:val="24"/>
        </w:rPr>
        <w:t>. Global Current Account Imbalances</w:t>
      </w:r>
    </w:p>
    <w:p w14:paraId="04F588D8" w14:textId="77777777" w:rsidR="00DD5DFD" w:rsidRPr="00935EAC" w:rsidRDefault="00B577F6" w:rsidP="00E027C4">
      <w:pPr>
        <w:widowControl w:val="0"/>
        <w:autoSpaceDE w:val="0"/>
        <w:autoSpaceDN w:val="0"/>
        <w:spacing w:before="100" w:beforeAutospacing="1" w:after="100" w:afterAutospacing="1" w:line="276" w:lineRule="auto"/>
        <w:ind w:left="158" w:right="58" w:firstLine="360"/>
        <w:jc w:val="both"/>
      </w:pPr>
      <w:r w:rsidRPr="007347B7">
        <w:rPr>
          <w:rFonts w:eastAsia="Times New Roman" w:cs="Times New Roman"/>
          <w:noProof/>
          <w:szCs w:val="24"/>
          <w14:ligatures w14:val="standardContextual"/>
        </w:rPr>
        <w:drawing>
          <wp:inline distT="0" distB="0" distL="0" distR="0" wp14:anchorId="3105A9E3" wp14:editId="677B2C8F">
            <wp:extent cx="5891465" cy="3194050"/>
            <wp:effectExtent l="0" t="0" r="0" b="6350"/>
            <wp:docPr id="2115819485" name="Picture 5" descr="A graph of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819485" name="Picture 5" descr="A graph of stock marke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64193" cy="3233479"/>
                    </a:xfrm>
                    <a:prstGeom prst="rect">
                      <a:avLst/>
                    </a:prstGeom>
                  </pic:spPr>
                </pic:pic>
              </a:graphicData>
            </a:graphic>
          </wp:inline>
        </w:drawing>
      </w:r>
    </w:p>
    <w:p w14:paraId="7D3FEE7C" w14:textId="77777777" w:rsidR="006755F2" w:rsidRPr="006755F2" w:rsidRDefault="006755F2" w:rsidP="006755F2">
      <w:pPr>
        <w:jc w:val="both"/>
      </w:pPr>
      <w:r w:rsidRPr="006755F2">
        <w:t>Figure 2 provides a complementary perspective by tracing the distribution of current account balances over time. While the median current account balance remains relatively stable, an important cyclical pattern emerges: the median tends to decline prior to major global recessions in 1975, 1982, 1991, and 2009. The COVID</w:t>
      </w:r>
      <w:r w:rsidRPr="006755F2">
        <w:noBreakHyphen/>
        <w:t>19 recession of 2020 is the main exception, with the median rising in the period immediately preceding the downturn and declining only afterward. More broadly, the fan chart illustrates the pronounced widening of the distribution from the 1960s through 2008. Although the dispersion narrows somewhat after the Global Financial Crisis, it remains substantially wider than in the pre</w:t>
      </w:r>
      <w:r w:rsidRPr="006755F2">
        <w:noBreakHyphen/>
        <w:t>2000 period.</w:t>
      </w:r>
    </w:p>
    <w:p w14:paraId="599E44F0" w14:textId="77777777" w:rsidR="00D15B87" w:rsidRDefault="00C97140" w:rsidP="00D15B87">
      <w:pPr>
        <w:keepNext/>
        <w:jc w:val="both"/>
      </w:pPr>
      <w:r w:rsidRPr="0073265E">
        <w:rPr>
          <w:rFonts w:eastAsia="Times New Roman"/>
          <w:noProof/>
        </w:rPr>
        <w:lastRenderedPageBreak/>
        <w:drawing>
          <wp:inline distT="0" distB="0" distL="0" distR="0" wp14:anchorId="2B908B93" wp14:editId="765620FB">
            <wp:extent cx="5797550" cy="3665993"/>
            <wp:effectExtent l="0" t="0" r="0" b="0"/>
            <wp:docPr id="904803658" name="Picture 4" descr="A graph of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803658" name="Picture 4" descr="A graph of red and blue line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825253" cy="3683511"/>
                    </a:xfrm>
                    <a:prstGeom prst="rect">
                      <a:avLst/>
                    </a:prstGeom>
                  </pic:spPr>
                </pic:pic>
              </a:graphicData>
            </a:graphic>
          </wp:inline>
        </w:drawing>
      </w:r>
    </w:p>
    <w:p w14:paraId="3BBFF49E" w14:textId="215CCB35" w:rsidR="00A9747B" w:rsidRPr="00D15B87" w:rsidRDefault="00D15B87" w:rsidP="00D15B87">
      <w:pPr>
        <w:pStyle w:val="Caption"/>
        <w:jc w:val="center"/>
        <w:rPr>
          <w:b/>
          <w:bCs/>
          <w:i w:val="0"/>
          <w:iCs w:val="0"/>
          <w:color w:val="auto"/>
          <w:sz w:val="24"/>
          <w:szCs w:val="24"/>
        </w:rPr>
      </w:pPr>
      <w:r w:rsidRPr="00D15B87">
        <w:rPr>
          <w:b/>
          <w:bCs/>
          <w:i w:val="0"/>
          <w:iCs w:val="0"/>
          <w:color w:val="auto"/>
          <w:sz w:val="24"/>
          <w:szCs w:val="24"/>
        </w:rPr>
        <w:t xml:space="preserve">Figure </w:t>
      </w:r>
      <w:r w:rsidRPr="00D15B87">
        <w:rPr>
          <w:b/>
          <w:bCs/>
          <w:i w:val="0"/>
          <w:iCs w:val="0"/>
          <w:color w:val="auto"/>
          <w:sz w:val="24"/>
          <w:szCs w:val="24"/>
        </w:rPr>
        <w:fldChar w:fldCharType="begin"/>
      </w:r>
      <w:r w:rsidRPr="00D15B87">
        <w:rPr>
          <w:b/>
          <w:bCs/>
          <w:i w:val="0"/>
          <w:iCs w:val="0"/>
          <w:color w:val="auto"/>
          <w:sz w:val="24"/>
          <w:szCs w:val="24"/>
        </w:rPr>
        <w:instrText xml:space="preserve"> SEQ Figure \* ARABIC </w:instrText>
      </w:r>
      <w:r w:rsidRPr="00D15B87">
        <w:rPr>
          <w:b/>
          <w:bCs/>
          <w:i w:val="0"/>
          <w:iCs w:val="0"/>
          <w:color w:val="auto"/>
          <w:sz w:val="24"/>
          <w:szCs w:val="24"/>
        </w:rPr>
        <w:fldChar w:fldCharType="separate"/>
      </w:r>
      <w:r w:rsidR="000A67C2">
        <w:rPr>
          <w:b/>
          <w:bCs/>
          <w:i w:val="0"/>
          <w:iCs w:val="0"/>
          <w:noProof/>
          <w:color w:val="auto"/>
          <w:sz w:val="24"/>
          <w:szCs w:val="24"/>
        </w:rPr>
        <w:t>2</w:t>
      </w:r>
      <w:r w:rsidRPr="00D15B87">
        <w:rPr>
          <w:b/>
          <w:bCs/>
          <w:i w:val="0"/>
          <w:iCs w:val="0"/>
          <w:color w:val="auto"/>
          <w:sz w:val="24"/>
          <w:szCs w:val="24"/>
        </w:rPr>
        <w:fldChar w:fldCharType="end"/>
      </w:r>
      <w:r w:rsidRPr="00D15B87">
        <w:rPr>
          <w:b/>
          <w:bCs/>
          <w:i w:val="0"/>
          <w:iCs w:val="0"/>
          <w:color w:val="auto"/>
          <w:sz w:val="24"/>
          <w:szCs w:val="24"/>
        </w:rPr>
        <w:t xml:space="preserve">. </w:t>
      </w:r>
      <w:r>
        <w:rPr>
          <w:b/>
          <w:bCs/>
          <w:i w:val="0"/>
          <w:iCs w:val="0"/>
          <w:color w:val="auto"/>
          <w:sz w:val="24"/>
          <w:szCs w:val="24"/>
        </w:rPr>
        <w:t>Dispersion</w:t>
      </w:r>
      <w:r w:rsidRPr="00D15B87">
        <w:rPr>
          <w:b/>
          <w:bCs/>
          <w:i w:val="0"/>
          <w:iCs w:val="0"/>
          <w:color w:val="auto"/>
          <w:sz w:val="24"/>
          <w:szCs w:val="24"/>
        </w:rPr>
        <w:t xml:space="preserve"> of Global Current Account Imbalances</w:t>
      </w:r>
    </w:p>
    <w:p w14:paraId="5B84A813" w14:textId="48649CD2" w:rsidR="006755F2" w:rsidRDefault="006755F2" w:rsidP="006755F2">
      <w:r>
        <w:t>Disaggregating by country groups in Figure 3 reinforces these global patterns while revealing important heterogeneity across regions and levels of development. Across all groups, both the typical magnitude of imbalances (measured by the absolute mean) and their dispersion (measured by the standard deviation) vary over time and exhibit common global movements. At the same time, distinct group‑specific dynamics are evident. Industrialized economies display a pronounced run‑up in imbalance magnitudes from the late 1990s through the mid‑2000s, followed by partial retrenchment. Emerging and less‑developed economies exhibit higher short‑run volatility earlier in the sample</w:t>
      </w:r>
      <w:r w:rsidR="00447F58">
        <w:t xml:space="preserve">, </w:t>
      </w:r>
      <w:r>
        <w:t>particularly during the 1970s and 1980s</w:t>
      </w:r>
      <w:r w:rsidR="00447F58">
        <w:t xml:space="preserve">, </w:t>
      </w:r>
      <w:r>
        <w:t>and a renewed widening around the 2000s before moderating thereafter.</w:t>
      </w:r>
    </w:p>
    <w:p w14:paraId="0B30C768" w14:textId="77777777" w:rsidR="006755F2" w:rsidRDefault="006755F2" w:rsidP="006755F2">
      <w:r>
        <w:t>Regional differences are also salient. East Asia and the Pacific show persistently moderate imbalances punctuated by episodic spikes, while Latin America experiences sharper cyclical surges, especially in the mid‑2000s, alongside elevated cross‑country dispersion in recent years. The euro area stands out for a marked increase in both the level and dispersion of imbalances during the 2000s, coinciding with monetary union, and—like other advanced groups—exhibits renewed heterogeneity toward the end of the sample, reflecting divergent country experiences during recent global shocks.</w:t>
      </w:r>
    </w:p>
    <w:p w14:paraId="05488941" w14:textId="77777777" w:rsidR="00D15B87" w:rsidRDefault="006755F2" w:rsidP="00D15B87">
      <w:pPr>
        <w:keepNext/>
      </w:pPr>
      <w:r>
        <w:t xml:space="preserve">Taken together, these descriptive facts point to two key features of current account dynamics. First, global imbalances have increased both in magnitude and dispersion over time. Second, the persistence and volatility of current account balances vary systematically across countries and episodes, suggesting </w:t>
      </w:r>
      <w:r>
        <w:lastRenderedPageBreak/>
        <w:t>that a single, time‑invariant characterization of external adjustment is unlikely to be adequate.</w:t>
      </w:r>
      <w:r w:rsidR="002A1172" w:rsidRPr="002A1172">
        <w:rPr>
          <w:noProof/>
        </w:rPr>
        <w:drawing>
          <wp:inline distT="0" distB="0" distL="0" distR="0" wp14:anchorId="37244FAF" wp14:editId="2FBF1CDE">
            <wp:extent cx="6400800" cy="4085590"/>
            <wp:effectExtent l="0" t="0" r="0" b="0"/>
            <wp:docPr id="472096912" name="Picture 4" descr="A group of graphs showing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096912" name="Picture 4" descr="A group of graphs showing different types of data&#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00800" cy="4085590"/>
                    </a:xfrm>
                    <a:prstGeom prst="rect">
                      <a:avLst/>
                    </a:prstGeom>
                    <a:noFill/>
                    <a:ln>
                      <a:noFill/>
                    </a:ln>
                  </pic:spPr>
                </pic:pic>
              </a:graphicData>
            </a:graphic>
          </wp:inline>
        </w:drawing>
      </w:r>
    </w:p>
    <w:p w14:paraId="0711B4A9" w14:textId="7B4E255D" w:rsidR="002A1172" w:rsidRPr="00D15B87" w:rsidRDefault="00D15B87" w:rsidP="00D15B87">
      <w:pPr>
        <w:pStyle w:val="Caption"/>
        <w:jc w:val="center"/>
        <w:rPr>
          <w:b/>
          <w:bCs/>
          <w:i w:val="0"/>
          <w:iCs w:val="0"/>
          <w:color w:val="auto"/>
          <w:sz w:val="24"/>
          <w:szCs w:val="24"/>
        </w:rPr>
      </w:pPr>
      <w:r w:rsidRPr="00D15B87">
        <w:rPr>
          <w:b/>
          <w:bCs/>
          <w:i w:val="0"/>
          <w:iCs w:val="0"/>
          <w:color w:val="auto"/>
          <w:sz w:val="24"/>
          <w:szCs w:val="24"/>
        </w:rPr>
        <w:t xml:space="preserve">Figure </w:t>
      </w:r>
      <w:r w:rsidRPr="00D15B87">
        <w:rPr>
          <w:b/>
          <w:bCs/>
          <w:i w:val="0"/>
          <w:iCs w:val="0"/>
          <w:color w:val="auto"/>
          <w:sz w:val="24"/>
          <w:szCs w:val="24"/>
        </w:rPr>
        <w:fldChar w:fldCharType="begin"/>
      </w:r>
      <w:r w:rsidRPr="00D15B87">
        <w:rPr>
          <w:b/>
          <w:bCs/>
          <w:i w:val="0"/>
          <w:iCs w:val="0"/>
          <w:color w:val="auto"/>
          <w:sz w:val="24"/>
          <w:szCs w:val="24"/>
        </w:rPr>
        <w:instrText xml:space="preserve"> SEQ Figure \* ARABIC </w:instrText>
      </w:r>
      <w:r w:rsidRPr="00D15B87">
        <w:rPr>
          <w:b/>
          <w:bCs/>
          <w:i w:val="0"/>
          <w:iCs w:val="0"/>
          <w:color w:val="auto"/>
          <w:sz w:val="24"/>
          <w:szCs w:val="24"/>
        </w:rPr>
        <w:fldChar w:fldCharType="separate"/>
      </w:r>
      <w:r w:rsidR="000A67C2">
        <w:rPr>
          <w:b/>
          <w:bCs/>
          <w:i w:val="0"/>
          <w:iCs w:val="0"/>
          <w:noProof/>
          <w:color w:val="auto"/>
          <w:sz w:val="24"/>
          <w:szCs w:val="24"/>
        </w:rPr>
        <w:t>3</w:t>
      </w:r>
      <w:r w:rsidRPr="00D15B87">
        <w:rPr>
          <w:b/>
          <w:bCs/>
          <w:i w:val="0"/>
          <w:iCs w:val="0"/>
          <w:color w:val="auto"/>
          <w:sz w:val="24"/>
          <w:szCs w:val="24"/>
        </w:rPr>
        <w:fldChar w:fldCharType="end"/>
      </w:r>
      <w:r w:rsidRPr="00D15B87">
        <w:rPr>
          <w:b/>
          <w:bCs/>
          <w:i w:val="0"/>
          <w:iCs w:val="0"/>
          <w:color w:val="auto"/>
          <w:sz w:val="24"/>
          <w:szCs w:val="24"/>
        </w:rPr>
        <w:t>. Current Account Imbalances by Country Groups</w:t>
      </w:r>
    </w:p>
    <w:p w14:paraId="7B3AA58A" w14:textId="7CA1CCF2" w:rsidR="00E40C4B" w:rsidRPr="00935EAC" w:rsidRDefault="00E40C4B" w:rsidP="0073265E">
      <w:pPr>
        <w:spacing w:before="100" w:beforeAutospacing="1" w:after="100" w:afterAutospacing="1"/>
        <w:jc w:val="both"/>
        <w:rPr>
          <w:rFonts w:eastAsia="Times New Roman"/>
          <w:b/>
          <w:bCs/>
        </w:rPr>
      </w:pPr>
      <w:r w:rsidRPr="00935EAC">
        <w:rPr>
          <w:rFonts w:eastAsia="Times New Roman"/>
          <w:b/>
          <w:bCs/>
        </w:rPr>
        <w:t>2.2. External balance and the intertemporal approach</w:t>
      </w:r>
    </w:p>
    <w:p w14:paraId="013259C7" w14:textId="06B43FC2" w:rsidR="00D37400" w:rsidRPr="00D37400" w:rsidRDefault="00D37400" w:rsidP="3F82F0DF">
      <w:pPr>
        <w:spacing w:before="100" w:beforeAutospacing="1" w:after="100" w:afterAutospacing="1" w:line="276" w:lineRule="auto"/>
        <w:jc w:val="both"/>
        <w:rPr>
          <w:rFonts w:eastAsia="Times New Roman" w:cs="Times New Roman"/>
          <w:spacing w:val="-2"/>
        </w:rPr>
      </w:pPr>
      <w:r w:rsidRPr="3F82F0DF">
        <w:rPr>
          <w:rFonts w:eastAsia="Times New Roman" w:cs="Times New Roman"/>
          <w:spacing w:val="-2"/>
        </w:rPr>
        <w:t>The intertemporal approach to the current account provides the standard theoretical framework for assessing external balance and sustainability (Trehan and Walsh 1991; Hakkio and Rush 1991). In this framework, a representative, infinitely lived agent smooths consumption subject to an intertemporal budget constraint. The key implication is that the current account must be stationary in equilibrium to satisfy the long-run budget constraint.</w:t>
      </w:r>
    </w:p>
    <w:p w14:paraId="03AAD7ED" w14:textId="77777777" w:rsidR="00D37400" w:rsidRPr="00D37400" w:rsidRDefault="00D37400" w:rsidP="00D37400">
      <w:pPr>
        <w:spacing w:before="100" w:beforeAutospacing="1" w:after="100" w:afterAutospacing="1" w:line="276" w:lineRule="auto"/>
        <w:jc w:val="both"/>
        <w:rPr>
          <w:rFonts w:eastAsia="Times New Roman" w:cs="Times New Roman"/>
          <w:spacing w:val="-2"/>
          <w:szCs w:val="24"/>
        </w:rPr>
      </w:pPr>
      <w:r w:rsidRPr="00D37400">
        <w:rPr>
          <w:rFonts w:eastAsia="Times New Roman" w:cs="Times New Roman"/>
          <w:spacing w:val="-2"/>
          <w:szCs w:val="24"/>
        </w:rPr>
        <w:t>The aggregate resource constraint is given by</w:t>
      </w:r>
    </w:p>
    <w:p w14:paraId="442FC0DA" w14:textId="77777777" w:rsidR="00E40C4B" w:rsidRPr="00935EAC" w:rsidRDefault="00000000" w:rsidP="0073265E">
      <w:pPr>
        <w:spacing w:before="100" w:beforeAutospacing="1" w:after="100" w:afterAutospacing="1" w:line="276" w:lineRule="auto"/>
        <w:jc w:val="both"/>
        <w:rPr>
          <w:rFonts w:eastAsia="Times New Roman" w:cs="Times New Roman"/>
          <w:spacing w:val="-2"/>
          <w:szCs w:val="24"/>
        </w:rPr>
      </w:pPr>
      <m:oMathPara>
        <m:oMath>
          <m:m>
            <m:mPr>
              <m:plcHide m:val="1"/>
              <m:mcs>
                <m:mc>
                  <m:mcPr>
                    <m:count m:val="4"/>
                    <m:mcJc m:val="center"/>
                  </m:mcPr>
                </m:mc>
              </m:mcs>
              <m:ctrlPr>
                <w:rPr>
                  <w:rFonts w:ascii="Cambria Math" w:eastAsia="Times New Roman" w:hAnsi="Cambria Math" w:cs="Times New Roman"/>
                  <w:spacing w:val="-2"/>
                  <w:szCs w:val="24"/>
                </w:rPr>
              </m:ctrlPr>
            </m:mPr>
            <m:mr>
              <m:e/>
              <m:e>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C</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I</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G</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B</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Y</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+(1+</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r</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B</m:t>
                    </m:r>
                  </m:e>
                  <m:sub>
                    <m:r>
                      <w:rPr>
                        <w:rFonts w:ascii="Cambria Math" w:eastAsia="Times New Roman" w:hAnsi="Cambria Math" w:cs="Times New Roman"/>
                        <w:spacing w:val="-2"/>
                        <w:szCs w:val="24"/>
                      </w:rPr>
                      <m:t>t-1</m:t>
                    </m:r>
                  </m:sub>
                </m:sSub>
                <m:r>
                  <w:rPr>
                    <w:rFonts w:ascii="Cambria Math" w:eastAsia="Times New Roman" w:hAnsi="Cambria Math" w:cs="Times New Roman"/>
                    <w:spacing w:val="-2"/>
                    <w:szCs w:val="24"/>
                  </w:rPr>
                  <m:t>,</m:t>
                </m:r>
              </m:e>
              <m:e/>
              <m:e>
                <m:r>
                  <m:rPr>
                    <m:nor/>
                  </m:rPr>
                  <w:rPr>
                    <w:rFonts w:eastAsia="Times New Roman" w:cs="Times New Roman"/>
                    <w:spacing w:val="-2"/>
                    <w:szCs w:val="24"/>
                  </w:rPr>
                  <m:t>(1)</m:t>
                </m:r>
              </m:e>
            </m:mr>
          </m:m>
          <m:r>
            <m:rPr>
              <m:sty m:val="p"/>
            </m:rPr>
            <w:rPr>
              <w:rFonts w:eastAsia="Times New Roman" w:cs="Times New Roman"/>
              <w:spacing w:val="-2"/>
              <w:szCs w:val="24"/>
            </w:rPr>
            <w:br/>
          </m:r>
        </m:oMath>
      </m:oMathPara>
    </w:p>
    <w:p w14:paraId="77063380" w14:textId="7A18AC97" w:rsidR="00E40C4B" w:rsidRPr="00935EAC" w:rsidRDefault="00E40C4B" w:rsidP="0073265E">
      <w:pPr>
        <w:spacing w:before="100" w:beforeAutospacing="1" w:after="100" w:afterAutospacing="1" w:line="276" w:lineRule="auto"/>
        <w:jc w:val="both"/>
        <w:rPr>
          <w:rFonts w:eastAsia="Times New Roman" w:cs="Times New Roman"/>
          <w:spacing w:val="-2"/>
          <w:szCs w:val="24"/>
        </w:rPr>
      </w:pPr>
      <w:r w:rsidRPr="7F267866">
        <w:rPr>
          <w:rFonts w:eastAsia="Times New Roman" w:cs="Times New Roman"/>
          <w:spacing w:val="-2"/>
        </w:rPr>
        <w:t xml:space="preserve">where </w:t>
      </w:r>
      <m:oMath>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C</m:t>
            </m:r>
          </m:e>
          <m:sub>
            <m:r>
              <w:rPr>
                <w:rFonts w:ascii="Cambria Math" w:eastAsia="Times New Roman" w:hAnsi="Cambria Math" w:cs="Times New Roman"/>
                <w:spacing w:val="-2"/>
                <w:szCs w:val="24"/>
              </w:rPr>
              <m:t>t</m:t>
            </m:r>
          </m:sub>
        </m:sSub>
      </m:oMath>
      <w:r w:rsidRPr="7F267866">
        <w:rPr>
          <w:rFonts w:eastAsia="Times New Roman" w:cs="Times New Roman"/>
          <w:spacing w:val="-2"/>
        </w:rPr>
        <w:t xml:space="preserve">, </w:t>
      </w:r>
      <m:oMath>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I</m:t>
            </m:r>
          </m:e>
          <m:sub>
            <m:r>
              <w:rPr>
                <w:rFonts w:ascii="Cambria Math" w:eastAsia="Times New Roman" w:hAnsi="Cambria Math" w:cs="Times New Roman"/>
                <w:spacing w:val="-2"/>
                <w:szCs w:val="24"/>
              </w:rPr>
              <m:t>t</m:t>
            </m:r>
          </m:sub>
        </m:sSub>
      </m:oMath>
      <w:r w:rsidRPr="7F267866">
        <w:rPr>
          <w:rFonts w:eastAsia="Times New Roman" w:cs="Times New Roman"/>
          <w:spacing w:val="-2"/>
        </w:rPr>
        <w:t xml:space="preserve">, </w:t>
      </w:r>
      <m:oMath>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G</m:t>
            </m:r>
          </m:e>
          <m:sub>
            <m:r>
              <w:rPr>
                <w:rFonts w:ascii="Cambria Math" w:eastAsia="Times New Roman" w:hAnsi="Cambria Math" w:cs="Times New Roman"/>
                <w:spacing w:val="-2"/>
                <w:szCs w:val="24"/>
              </w:rPr>
              <m:t>t</m:t>
            </m:r>
          </m:sub>
        </m:sSub>
      </m:oMath>
      <w:r w:rsidRPr="7F267866">
        <w:rPr>
          <w:rFonts w:eastAsia="Times New Roman" w:cs="Times New Roman"/>
          <w:spacing w:val="-2"/>
        </w:rPr>
        <w:t xml:space="preserve">, </w:t>
      </w:r>
      <m:oMath>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B</m:t>
            </m:r>
          </m:e>
          <m:sub>
            <m:r>
              <w:rPr>
                <w:rFonts w:ascii="Cambria Math" w:eastAsia="Times New Roman" w:hAnsi="Cambria Math" w:cs="Times New Roman"/>
                <w:spacing w:val="-2"/>
                <w:szCs w:val="24"/>
              </w:rPr>
              <m:t>t</m:t>
            </m:r>
          </m:sub>
        </m:sSub>
      </m:oMath>
      <w:r w:rsidRPr="7F267866">
        <w:rPr>
          <w:rFonts w:eastAsia="Times New Roman" w:cs="Times New Roman"/>
          <w:spacing w:val="-2"/>
        </w:rPr>
        <w:t xml:space="preserve">, </w:t>
      </w:r>
      <m:oMath>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Y</m:t>
            </m:r>
          </m:e>
          <m:sub>
            <m:r>
              <w:rPr>
                <w:rFonts w:ascii="Cambria Math" w:eastAsia="Times New Roman" w:hAnsi="Cambria Math" w:cs="Times New Roman"/>
                <w:spacing w:val="-2"/>
                <w:szCs w:val="24"/>
              </w:rPr>
              <m:t>t</m:t>
            </m:r>
          </m:sub>
        </m:sSub>
      </m:oMath>
      <w:r w:rsidRPr="7F267866">
        <w:rPr>
          <w:rFonts w:eastAsia="Times New Roman" w:cs="Times New Roman"/>
          <w:spacing w:val="-2"/>
        </w:rPr>
        <w:t xml:space="preserve">, and </w:t>
      </w:r>
      <m:oMath>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r</m:t>
            </m:r>
          </m:e>
          <m:sub>
            <m:r>
              <w:rPr>
                <w:rFonts w:ascii="Cambria Math" w:eastAsia="Times New Roman" w:hAnsi="Cambria Math" w:cs="Times New Roman"/>
                <w:spacing w:val="-2"/>
                <w:szCs w:val="24"/>
              </w:rPr>
              <m:t>t</m:t>
            </m:r>
          </m:sub>
        </m:sSub>
      </m:oMath>
      <w:r w:rsidRPr="7F267866">
        <w:rPr>
          <w:rFonts w:eastAsia="Times New Roman" w:cs="Times New Roman"/>
          <w:spacing w:val="-2"/>
        </w:rPr>
        <w:t xml:space="preserve"> denote consumption, private investment, government spending, net foreign assets, output, and the world real interest rate. Net foreign assets evolve a</w:t>
      </w:r>
      <w:r w:rsidR="00D37400" w:rsidRPr="7F267866">
        <w:rPr>
          <w:rFonts w:eastAsia="Times New Roman" w:cs="Times New Roman"/>
          <w:spacing w:val="-2"/>
        </w:rPr>
        <w:t>ccording to</w:t>
      </w:r>
    </w:p>
    <w:p w14:paraId="43F29A34" w14:textId="77777777" w:rsidR="00E40C4B" w:rsidRPr="00935EAC" w:rsidRDefault="00000000" w:rsidP="0073265E">
      <w:pPr>
        <w:spacing w:before="100" w:beforeAutospacing="1" w:after="100" w:afterAutospacing="1" w:line="276" w:lineRule="auto"/>
        <w:jc w:val="both"/>
        <w:rPr>
          <w:rFonts w:eastAsia="Times New Roman" w:cs="Times New Roman"/>
          <w:spacing w:val="-2"/>
          <w:szCs w:val="24"/>
        </w:rPr>
      </w:pPr>
      <m:oMathPara>
        <m:oMath>
          <m:m>
            <m:mPr>
              <m:plcHide m:val="1"/>
              <m:mcs>
                <m:mc>
                  <m:mcPr>
                    <m:count m:val="4"/>
                    <m:mcJc m:val="center"/>
                  </m:mcPr>
                </m:mc>
              </m:mcs>
              <m:ctrlPr>
                <w:rPr>
                  <w:rFonts w:ascii="Cambria Math" w:eastAsia="Times New Roman" w:hAnsi="Cambria Math" w:cs="Times New Roman"/>
                  <w:spacing w:val="-2"/>
                  <w:szCs w:val="24"/>
                </w:rPr>
              </m:ctrlPr>
            </m:mPr>
            <m:mr>
              <m:e/>
              <m:e>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B</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=(1+</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r</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B</m:t>
                    </m:r>
                  </m:e>
                  <m:sub>
                    <m:r>
                      <w:rPr>
                        <w:rFonts w:ascii="Cambria Math" w:eastAsia="Times New Roman" w:hAnsi="Cambria Math" w:cs="Times New Roman"/>
                        <w:spacing w:val="-2"/>
                        <w:szCs w:val="24"/>
                      </w:rPr>
                      <m:t>t-1</m:t>
                    </m:r>
                  </m:sub>
                </m:sSub>
                <m:r>
                  <w:rPr>
                    <w:rFonts w:ascii="Cambria Math" w:eastAsia="Times New Roman" w:hAnsi="Cambria Math" w:cs="Times New Roman"/>
                    <w:spacing w:val="-2"/>
                    <w:szCs w:val="24"/>
                  </w:rPr>
                  <m:t>+N</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X</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m:t>
                </m:r>
              </m:e>
              <m:e/>
              <m:e>
                <m:r>
                  <m:rPr>
                    <m:nor/>
                  </m:rPr>
                  <w:rPr>
                    <w:rFonts w:eastAsia="Times New Roman" w:cs="Times New Roman"/>
                    <w:spacing w:val="-2"/>
                    <w:szCs w:val="24"/>
                  </w:rPr>
                  <m:t>(2)</m:t>
                </m:r>
              </m:e>
            </m:mr>
          </m:m>
          <m:r>
            <m:rPr>
              <m:sty m:val="p"/>
            </m:rPr>
            <w:rPr>
              <w:rFonts w:eastAsia="Times New Roman" w:cs="Times New Roman"/>
              <w:spacing w:val="-2"/>
              <w:szCs w:val="24"/>
            </w:rPr>
            <w:br/>
          </m:r>
        </m:oMath>
      </m:oMathPara>
    </w:p>
    <w:p w14:paraId="4D129B86" w14:textId="77777777" w:rsidR="00E40C4B" w:rsidRPr="00935EAC" w:rsidRDefault="00E40C4B" w:rsidP="0073265E">
      <w:pPr>
        <w:spacing w:before="100" w:beforeAutospacing="1" w:after="100" w:afterAutospacing="1" w:line="276" w:lineRule="auto"/>
        <w:jc w:val="both"/>
        <w:rPr>
          <w:rFonts w:eastAsia="Times New Roman" w:cs="Times New Roman"/>
          <w:spacing w:val="-2"/>
          <w:szCs w:val="24"/>
        </w:rPr>
      </w:pPr>
      <w:r w:rsidRPr="00935EAC">
        <w:rPr>
          <w:rFonts w:eastAsia="Times New Roman" w:cs="Times New Roman"/>
          <w:spacing w:val="-2"/>
          <w:szCs w:val="24"/>
        </w:rPr>
        <w:lastRenderedPageBreak/>
        <w:t>with net exports defined by</w:t>
      </w:r>
    </w:p>
    <w:p w14:paraId="5DE54D54" w14:textId="77777777" w:rsidR="00E40C4B" w:rsidRPr="00935EAC" w:rsidRDefault="00000000" w:rsidP="0073265E">
      <w:pPr>
        <w:spacing w:before="100" w:beforeAutospacing="1" w:after="100" w:afterAutospacing="1" w:line="276" w:lineRule="auto"/>
        <w:jc w:val="both"/>
        <w:rPr>
          <w:rFonts w:eastAsia="Times New Roman" w:cs="Times New Roman"/>
          <w:spacing w:val="-2"/>
          <w:szCs w:val="24"/>
        </w:rPr>
      </w:pPr>
      <m:oMathPara>
        <m:oMath>
          <m:m>
            <m:mPr>
              <m:plcHide m:val="1"/>
              <m:mcs>
                <m:mc>
                  <m:mcPr>
                    <m:count m:val="4"/>
                    <m:mcJc m:val="center"/>
                  </m:mcPr>
                </m:mc>
              </m:mcs>
              <m:ctrlPr>
                <w:rPr>
                  <w:rFonts w:ascii="Cambria Math" w:eastAsia="Times New Roman" w:hAnsi="Cambria Math" w:cs="Times New Roman"/>
                  <w:spacing w:val="-2"/>
                  <w:szCs w:val="24"/>
                </w:rPr>
              </m:ctrlPr>
            </m:mPr>
            <m:mr>
              <m:e/>
              <m:e>
                <m:r>
                  <w:rPr>
                    <w:rFonts w:ascii="Cambria Math" w:eastAsia="Times New Roman" w:hAnsi="Cambria Math" w:cs="Times New Roman"/>
                    <w:spacing w:val="-2"/>
                    <w:szCs w:val="24"/>
                  </w:rPr>
                  <m:t>N</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X</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Y</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C</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I</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G</m:t>
                    </m:r>
                  </m:e>
                  <m:sub>
                    <m:r>
                      <w:rPr>
                        <w:rFonts w:ascii="Cambria Math" w:eastAsia="Times New Roman" w:hAnsi="Cambria Math" w:cs="Times New Roman"/>
                        <w:spacing w:val="-2"/>
                        <w:szCs w:val="24"/>
                      </w:rPr>
                      <m:t>t</m:t>
                    </m:r>
                  </m:sub>
                </m:sSub>
                <m:r>
                  <m:rPr>
                    <m:sty m:val="p"/>
                  </m:rPr>
                  <w:rPr>
                    <w:rFonts w:ascii="Cambria Math" w:eastAsia="Times New Roman" w:hAnsi="Cambria Math" w:cs="Times New Roman"/>
                    <w:spacing w:val="-2"/>
                    <w:szCs w:val="24"/>
                  </w:rPr>
                  <m:t>.</m:t>
                </m:r>
              </m:e>
              <m:e/>
              <m:e>
                <m:r>
                  <m:rPr>
                    <m:nor/>
                  </m:rPr>
                  <w:rPr>
                    <w:rFonts w:eastAsia="Times New Roman" w:cs="Times New Roman"/>
                    <w:spacing w:val="-2"/>
                    <w:szCs w:val="24"/>
                  </w:rPr>
                  <m:t>(3)</m:t>
                </m:r>
              </m:e>
            </m:mr>
          </m:m>
          <m:r>
            <m:rPr>
              <m:sty m:val="p"/>
            </m:rPr>
            <w:rPr>
              <w:rFonts w:eastAsia="Times New Roman" w:cs="Times New Roman"/>
              <w:spacing w:val="-2"/>
              <w:szCs w:val="24"/>
            </w:rPr>
            <w:br/>
          </m:r>
        </m:oMath>
      </m:oMathPara>
    </w:p>
    <w:p w14:paraId="40D46DB3" w14:textId="2C3C1CDF" w:rsidR="00E40C4B" w:rsidRPr="00935EAC" w:rsidRDefault="00E40C4B" w:rsidP="0073265E">
      <w:pPr>
        <w:spacing w:before="100" w:beforeAutospacing="1" w:after="100" w:afterAutospacing="1" w:line="276" w:lineRule="auto"/>
        <w:jc w:val="both"/>
        <w:rPr>
          <w:rFonts w:eastAsia="Times New Roman" w:cs="Times New Roman"/>
          <w:spacing w:val="-2"/>
          <w:szCs w:val="24"/>
        </w:rPr>
      </w:pPr>
      <w:r w:rsidRPr="00935EAC">
        <w:rPr>
          <w:rFonts w:eastAsia="Times New Roman" w:cs="Times New Roman"/>
          <w:spacing w:val="-2"/>
          <w:szCs w:val="24"/>
        </w:rPr>
        <w:t xml:space="preserve">The current account </w:t>
      </w:r>
      <w:r w:rsidR="00D37400" w:rsidRPr="00D37400">
        <w:rPr>
          <w:rFonts w:eastAsia="Times New Roman" w:cs="Times New Roman"/>
          <w:spacing w:val="-2"/>
          <w:szCs w:val="24"/>
        </w:rPr>
        <w:t>can therefore be expressed as</w:t>
      </w:r>
    </w:p>
    <w:p w14:paraId="3081523B" w14:textId="77777777" w:rsidR="00E40C4B" w:rsidRPr="00935EAC" w:rsidRDefault="00000000" w:rsidP="0073265E">
      <w:pPr>
        <w:spacing w:before="100" w:beforeAutospacing="1" w:after="100" w:afterAutospacing="1" w:line="276" w:lineRule="auto"/>
        <w:jc w:val="both"/>
        <w:rPr>
          <w:rFonts w:eastAsia="Times New Roman" w:cs="Times New Roman"/>
          <w:spacing w:val="-2"/>
          <w:szCs w:val="24"/>
        </w:rPr>
      </w:pPr>
      <m:oMathPara>
        <m:oMath>
          <m:m>
            <m:mPr>
              <m:plcHide m:val="1"/>
              <m:mcs>
                <m:mc>
                  <m:mcPr>
                    <m:count m:val="4"/>
                    <m:mcJc m:val="center"/>
                  </m:mcPr>
                </m:mc>
              </m:mcs>
              <m:ctrlPr>
                <w:rPr>
                  <w:rFonts w:ascii="Cambria Math" w:eastAsia="Times New Roman" w:hAnsi="Cambria Math" w:cs="Times New Roman"/>
                  <w:spacing w:val="-2"/>
                  <w:szCs w:val="24"/>
                </w:rPr>
              </m:ctrlPr>
            </m:mPr>
            <m:mr>
              <m:e/>
              <m:e>
                <m:r>
                  <w:rPr>
                    <w:rFonts w:ascii="Cambria Math" w:eastAsia="Times New Roman" w:hAnsi="Cambria Math" w:cs="Times New Roman"/>
                    <w:spacing w:val="-2"/>
                    <w:szCs w:val="24"/>
                  </w:rPr>
                  <m:t>C</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A</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r</m:t>
                    </m:r>
                  </m:e>
                  <m:sub>
                    <m:r>
                      <w:rPr>
                        <w:rFonts w:ascii="Cambria Math" w:eastAsia="Times New Roman" w:hAnsi="Cambria Math" w:cs="Times New Roman"/>
                        <w:spacing w:val="-2"/>
                        <w:szCs w:val="24"/>
                      </w:rPr>
                      <m:t>t</m:t>
                    </m:r>
                  </m:sub>
                </m:sSub>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B</m:t>
                    </m:r>
                  </m:e>
                  <m:sub>
                    <m:r>
                      <w:rPr>
                        <w:rFonts w:ascii="Cambria Math" w:eastAsia="Times New Roman" w:hAnsi="Cambria Math" w:cs="Times New Roman"/>
                        <w:spacing w:val="-2"/>
                        <w:szCs w:val="24"/>
                      </w:rPr>
                      <m:t>t-1</m:t>
                    </m:r>
                  </m:sub>
                </m:sSub>
                <m:r>
                  <w:rPr>
                    <w:rFonts w:ascii="Cambria Math" w:eastAsia="Times New Roman" w:hAnsi="Cambria Math" w:cs="Times New Roman"/>
                    <w:spacing w:val="-2"/>
                    <w:szCs w:val="24"/>
                  </w:rPr>
                  <m:t>+N</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X</m:t>
                    </m:r>
                  </m:e>
                  <m:sub>
                    <m:r>
                      <w:rPr>
                        <w:rFonts w:ascii="Cambria Math" w:eastAsia="Times New Roman" w:hAnsi="Cambria Math" w:cs="Times New Roman"/>
                        <w:spacing w:val="-2"/>
                        <w:szCs w:val="24"/>
                      </w:rPr>
                      <m:t>t</m:t>
                    </m:r>
                  </m:sub>
                </m:sSub>
                <m:r>
                  <m:rPr>
                    <m:sty m:val="p"/>
                  </m:rPr>
                  <w:rPr>
                    <w:rFonts w:ascii="Cambria Math" w:eastAsia="Times New Roman" w:hAnsi="Cambria Math" w:cs="Times New Roman"/>
                    <w:spacing w:val="-2"/>
                    <w:szCs w:val="24"/>
                  </w:rPr>
                  <m:t>.</m:t>
                </m:r>
              </m:e>
              <m:e/>
              <m:e>
                <m:r>
                  <m:rPr>
                    <m:nor/>
                  </m:rPr>
                  <w:rPr>
                    <w:rFonts w:eastAsia="Times New Roman" w:cs="Times New Roman"/>
                    <w:spacing w:val="-2"/>
                    <w:szCs w:val="24"/>
                  </w:rPr>
                  <m:t>(4)</m:t>
                </m:r>
              </m:e>
            </m:mr>
          </m:m>
          <m:r>
            <m:rPr>
              <m:sty m:val="p"/>
            </m:rPr>
            <w:rPr>
              <w:rFonts w:eastAsia="Times New Roman" w:cs="Times New Roman"/>
              <w:spacing w:val="-2"/>
              <w:szCs w:val="24"/>
            </w:rPr>
            <w:br/>
          </m:r>
        </m:oMath>
      </m:oMathPara>
    </w:p>
    <w:p w14:paraId="2A2AB779" w14:textId="77777777" w:rsidR="00AD6C93" w:rsidRPr="00AD6C93" w:rsidRDefault="00AD6C93" w:rsidP="00AD6C93">
      <w:pPr>
        <w:spacing w:before="100" w:beforeAutospacing="1" w:after="100" w:afterAutospacing="1" w:line="276" w:lineRule="auto"/>
        <w:jc w:val="both"/>
        <w:rPr>
          <w:rFonts w:eastAsia="Times New Roman" w:cs="Times New Roman"/>
          <w:spacing w:val="-2"/>
          <w:szCs w:val="24"/>
        </w:rPr>
      </w:pPr>
      <w:r w:rsidRPr="00AD6C93">
        <w:rPr>
          <w:rFonts w:eastAsia="Times New Roman" w:cs="Times New Roman"/>
          <w:spacing w:val="-2"/>
          <w:szCs w:val="24"/>
        </w:rPr>
        <w:t>highlighting that it reflects both net income flows from the international asset position and net exports of goods and services.</w:t>
      </w:r>
    </w:p>
    <w:p w14:paraId="65ED8E23" w14:textId="77777777" w:rsidR="00E40C4B" w:rsidRPr="00935EAC" w:rsidRDefault="00E40C4B" w:rsidP="0073265E">
      <w:pPr>
        <w:spacing w:before="100" w:beforeAutospacing="1" w:after="100" w:afterAutospacing="1" w:line="276" w:lineRule="auto"/>
        <w:jc w:val="both"/>
        <w:rPr>
          <w:rFonts w:eastAsia="Times New Roman" w:cs="Times New Roman"/>
          <w:spacing w:val="-2"/>
          <w:szCs w:val="24"/>
        </w:rPr>
      </w:pPr>
      <w:r w:rsidRPr="00935EAC">
        <w:rPr>
          <w:rFonts w:eastAsia="Times New Roman" w:cs="Times New Roman"/>
          <w:spacing w:val="-2"/>
          <w:szCs w:val="24"/>
        </w:rPr>
        <w:t xml:space="preserve">Following Taylor (2002), consider the dynamic behavior of this system in a stochastic steady state. Define </w:t>
      </w:r>
      <m:oMath>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R</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=1+</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r</m:t>
            </m:r>
          </m:e>
          <m:sub>
            <m:r>
              <w:rPr>
                <w:rFonts w:ascii="Cambria Math" w:eastAsia="Times New Roman" w:hAnsi="Cambria Math" w:cs="Times New Roman"/>
                <w:spacing w:val="-2"/>
                <w:szCs w:val="24"/>
              </w:rPr>
              <m:t>t</m:t>
            </m:r>
          </m:sub>
        </m:sSub>
      </m:oMath>
      <w:r w:rsidRPr="00935EAC">
        <w:rPr>
          <w:rFonts w:eastAsia="Times New Roman" w:cs="Times New Roman"/>
          <w:spacing w:val="-2"/>
          <w:szCs w:val="24"/>
        </w:rPr>
        <w:t>and assume that conditional expectations satisfy</w:t>
      </w:r>
    </w:p>
    <w:p w14:paraId="6572BA8A" w14:textId="77777777" w:rsidR="00E40C4B" w:rsidRPr="00935EAC" w:rsidRDefault="00000000" w:rsidP="0073265E">
      <w:pPr>
        <w:spacing w:before="100" w:beforeAutospacing="1" w:after="100" w:afterAutospacing="1" w:line="276" w:lineRule="auto"/>
        <w:jc w:val="both"/>
        <w:rPr>
          <w:rFonts w:eastAsia="Times New Roman" w:cs="Times New Roman"/>
          <w:spacing w:val="-2"/>
          <w:szCs w:val="24"/>
        </w:rPr>
      </w:pPr>
      <m:oMathPara>
        <m:oMath>
          <m:m>
            <m:mPr>
              <m:plcHide m:val="1"/>
              <m:mcs>
                <m:mc>
                  <m:mcPr>
                    <m:count m:val="4"/>
                    <m:mcJc m:val="center"/>
                  </m:mcPr>
                </m:mc>
              </m:mcs>
              <m:ctrlPr>
                <w:rPr>
                  <w:rFonts w:ascii="Cambria Math" w:eastAsia="Times New Roman" w:hAnsi="Cambria Math" w:cs="Times New Roman"/>
                  <w:spacing w:val="-2"/>
                  <w:szCs w:val="24"/>
                </w:rPr>
              </m:ctrlPr>
            </m:mPr>
            <m:mr>
              <m:e/>
              <m:e>
                <m:r>
                  <w:rPr>
                    <w:rFonts w:ascii="Cambria Math" w:eastAsia="Times New Roman" w:hAnsi="Cambria Math" w:cs="Times New Roman"/>
                    <w:spacing w:val="-2"/>
                    <w:szCs w:val="24"/>
                  </w:rPr>
                  <m:t>E(</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R</m:t>
                    </m:r>
                  </m:e>
                  <m:sub>
                    <m:r>
                      <w:rPr>
                        <w:rFonts w:ascii="Cambria Math" w:eastAsia="Times New Roman" w:hAnsi="Cambria Math" w:cs="Times New Roman"/>
                        <w:spacing w:val="-2"/>
                        <w:szCs w:val="24"/>
                      </w:rPr>
                      <m:t>t+i</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m:rPr>
                        <m:sty m:val="p"/>
                      </m:rPr>
                      <w:rPr>
                        <w:rFonts w:ascii="Cambria Math" w:eastAsia="Times New Roman" w:hAnsi="Cambria Math" w:cs="Times New Roman"/>
                        <w:spacing w:val="-2"/>
                        <w:szCs w:val="24"/>
                      </w:rPr>
                      <m:t>Ω</m:t>
                    </m:r>
                  </m:e>
                  <m:sub>
                    <m:r>
                      <w:rPr>
                        <w:rFonts w:ascii="Cambria Math" w:eastAsia="Times New Roman" w:hAnsi="Cambria Math" w:cs="Times New Roman"/>
                        <w:spacing w:val="-2"/>
                        <w:szCs w:val="24"/>
                      </w:rPr>
                      <m:t>t-1</m:t>
                    </m:r>
                  </m:sub>
                </m:sSub>
                <m:r>
                  <w:rPr>
                    <w:rFonts w:ascii="Cambria Math" w:eastAsia="Times New Roman" w:hAnsi="Cambria Math" w:cs="Times New Roman"/>
                    <w:spacing w:val="-2"/>
                    <w:szCs w:val="24"/>
                  </w:rPr>
                  <m:t>)=R,i≥0,</m:t>
                </m:r>
              </m:e>
              <m:e/>
              <m:e>
                <m:r>
                  <m:rPr>
                    <m:nor/>
                  </m:rPr>
                  <w:rPr>
                    <w:rFonts w:eastAsia="Times New Roman" w:cs="Times New Roman"/>
                    <w:spacing w:val="-2"/>
                    <w:szCs w:val="24"/>
                  </w:rPr>
                  <m:t>(5)</m:t>
                </m:r>
              </m:e>
            </m:mr>
          </m:m>
          <m:r>
            <m:rPr>
              <m:sty m:val="p"/>
            </m:rPr>
            <w:rPr>
              <w:rFonts w:eastAsia="Times New Roman" w:cs="Times New Roman"/>
              <w:spacing w:val="-2"/>
              <w:szCs w:val="24"/>
            </w:rPr>
            <w:br/>
          </m:r>
        </m:oMath>
      </m:oMathPara>
    </w:p>
    <w:p w14:paraId="7E9601C5" w14:textId="7292075C" w:rsidR="00AD6C93" w:rsidRPr="00AD6C93" w:rsidRDefault="00AD6C93" w:rsidP="7F267866">
      <w:pPr>
        <w:spacing w:before="100" w:beforeAutospacing="1" w:after="100" w:afterAutospacing="1" w:line="276" w:lineRule="auto"/>
        <w:jc w:val="both"/>
        <w:rPr>
          <w:rFonts w:eastAsia="Times New Roman" w:cs="Times New Roman"/>
          <w:spacing w:val="-2"/>
        </w:rPr>
      </w:pPr>
      <w:r w:rsidRPr="7F267866">
        <w:rPr>
          <w:rFonts w:eastAsia="Times New Roman" w:cs="Times New Roman"/>
          <w:spacing w:val="-2"/>
        </w:rPr>
        <w:t>where</w:t>
      </w:r>
      <w:r w:rsidR="00E40C4B" w:rsidRPr="7F267866">
        <w:rPr>
          <w:rFonts w:eastAsia="Times New Roman" w:cs="Times New Roman"/>
          <w:spacing w:val="-2"/>
        </w:rPr>
        <w:t xml:space="preserve"> </w:t>
      </w:r>
      <m:oMath>
        <m:sSub>
          <m:sSubPr>
            <m:ctrlPr>
              <w:rPr>
                <w:rFonts w:ascii="Cambria Math" w:eastAsia="Times New Roman" w:hAnsi="Cambria Math" w:cs="Times New Roman"/>
                <w:spacing w:val="-2"/>
                <w:szCs w:val="24"/>
              </w:rPr>
            </m:ctrlPr>
          </m:sSubPr>
          <m:e>
            <m:r>
              <m:rPr>
                <m:sty m:val="p"/>
              </m:rPr>
              <w:rPr>
                <w:rFonts w:ascii="Cambria Math" w:eastAsia="Times New Roman" w:hAnsi="Cambria Math" w:cs="Times New Roman"/>
                <w:spacing w:val="-2"/>
                <w:szCs w:val="24"/>
              </w:rPr>
              <m:t>Ω</m:t>
            </m:r>
          </m:e>
          <m:sub>
            <m:r>
              <w:rPr>
                <w:rFonts w:ascii="Cambria Math" w:eastAsia="Times New Roman" w:hAnsi="Cambria Math" w:cs="Times New Roman"/>
                <w:spacing w:val="-2"/>
                <w:szCs w:val="24"/>
              </w:rPr>
              <m:t>t-1</m:t>
            </m:r>
          </m:sub>
        </m:sSub>
        <m:r>
          <w:rPr>
            <w:rFonts w:ascii="Cambria Math" w:eastAsia="Times New Roman" w:hAnsi="Cambria Math" w:cs="Times New Roman"/>
            <w:spacing w:val="-2"/>
            <w:szCs w:val="24"/>
          </w:rPr>
          <m:t xml:space="preserve">, </m:t>
        </m:r>
      </m:oMath>
      <w:r w:rsidR="00E40C4B" w:rsidRPr="7F267866">
        <w:rPr>
          <w:rFonts w:eastAsia="Times New Roman" w:cs="Times New Roman"/>
          <w:spacing w:val="-2"/>
        </w:rPr>
        <w:t xml:space="preserve">denotes the information set in the previous period. Forward iteration of </w:t>
      </w:r>
      <w:r w:rsidRPr="7F267866">
        <w:rPr>
          <w:rFonts w:eastAsia="Times New Roman" w:cs="Times New Roman"/>
          <w:spacing w:val="-2"/>
        </w:rPr>
        <w:t>net foreign asset accumulation (Equation 2) yields</w:t>
      </w:r>
    </w:p>
    <w:p w14:paraId="15B29EE0" w14:textId="170268A7" w:rsidR="00E40C4B" w:rsidRPr="00935EAC" w:rsidRDefault="00000000" w:rsidP="0073265E">
      <w:pPr>
        <w:spacing w:before="100" w:beforeAutospacing="1" w:after="100" w:afterAutospacing="1" w:line="276" w:lineRule="auto"/>
        <w:jc w:val="both"/>
        <w:rPr>
          <w:rFonts w:eastAsia="Times New Roman" w:cs="Times New Roman"/>
          <w:spacing w:val="-2"/>
          <w:szCs w:val="24"/>
        </w:rPr>
      </w:pPr>
      <m:oMathPara>
        <m:oMath>
          <m:m>
            <m:mPr>
              <m:plcHide m:val="1"/>
              <m:mcs>
                <m:mc>
                  <m:mcPr>
                    <m:count m:val="4"/>
                    <m:mcJc m:val="center"/>
                  </m:mcPr>
                </m:mc>
              </m:mcs>
              <m:ctrlPr>
                <w:rPr>
                  <w:rFonts w:ascii="Cambria Math" w:eastAsia="Times New Roman" w:hAnsi="Cambria Math" w:cs="Times New Roman"/>
                  <w:spacing w:val="-2"/>
                  <w:szCs w:val="24"/>
                </w:rPr>
              </m:ctrlPr>
            </m:mPr>
            <m:mr>
              <m:e/>
              <m:e>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B</m:t>
                    </m:r>
                  </m:e>
                  <m:sub>
                    <m:r>
                      <w:rPr>
                        <w:rFonts w:ascii="Cambria Math" w:eastAsia="Times New Roman" w:hAnsi="Cambria Math" w:cs="Times New Roman"/>
                        <w:spacing w:val="-2"/>
                        <w:szCs w:val="24"/>
                      </w:rPr>
                      <m:t>t-1</m:t>
                    </m:r>
                  </m:sub>
                </m:sSub>
                <m:r>
                  <w:rPr>
                    <w:rFonts w:ascii="Cambria Math" w:eastAsia="Times New Roman" w:hAnsi="Cambria Math" w:cs="Times New Roman"/>
                    <w:spacing w:val="-2"/>
                    <w:szCs w:val="24"/>
                  </w:rPr>
                  <m:t>=</m:t>
                </m:r>
                <m:limLow>
                  <m:limLowPr>
                    <m:ctrlPr>
                      <w:rPr>
                        <w:rFonts w:ascii="Cambria Math" w:eastAsia="Times New Roman" w:hAnsi="Cambria Math" w:cs="Times New Roman"/>
                        <w:spacing w:val="-2"/>
                        <w:szCs w:val="24"/>
                      </w:rPr>
                    </m:ctrlPr>
                  </m:limLowPr>
                  <m:e>
                    <m:r>
                      <m:rPr>
                        <m:sty m:val="p"/>
                      </m:rPr>
                      <w:rPr>
                        <w:rFonts w:ascii="Cambria Math" w:eastAsia="Times New Roman" w:hAnsi="Cambria Math" w:cs="Times New Roman"/>
                        <w:spacing w:val="-2"/>
                        <w:szCs w:val="24"/>
                      </w:rPr>
                      <m:t>lim</m:t>
                    </m:r>
                    <m:r>
                      <w:rPr>
                        <w:rFonts w:ascii="Cambria Math" w:eastAsia="Times New Roman" w:hAnsi="Cambria Math" w:cs="Times New Roman"/>
                        <w:spacing w:val="-2"/>
                        <w:szCs w:val="24"/>
                      </w:rPr>
                      <m:t>⁡</m:t>
                    </m:r>
                  </m:e>
                  <m:lim>
                    <m:r>
                      <w:rPr>
                        <w:rFonts w:ascii="Cambria Math" w:eastAsia="Times New Roman" w:hAnsi="Cambria Math" w:cs="Times New Roman"/>
                        <w:spacing w:val="-2"/>
                        <w:szCs w:val="24"/>
                      </w:rPr>
                      <m:t>j→</m:t>
                    </m:r>
                    <m:r>
                      <m:rPr>
                        <m:sty m:val="p"/>
                      </m:rPr>
                      <w:rPr>
                        <w:rFonts w:ascii="Cambria Math" w:eastAsia="Times New Roman" w:hAnsi="Cambria Math" w:cs="Times New Roman"/>
                        <w:spacing w:val="-2"/>
                        <w:szCs w:val="24"/>
                      </w:rPr>
                      <m:t>∞</m:t>
                    </m:r>
                  </m:lim>
                </m:limLow>
                <m:sSup>
                  <m:sSupPr>
                    <m:ctrlPr>
                      <w:rPr>
                        <w:rFonts w:ascii="Cambria Math" w:eastAsia="Times New Roman" w:hAnsi="Cambria Math" w:cs="Times New Roman"/>
                        <w:spacing w:val="-2"/>
                        <w:szCs w:val="24"/>
                      </w:rPr>
                    </m:ctrlPr>
                  </m:sSupPr>
                  <m:e>
                    <m:r>
                      <w:rPr>
                        <w:rFonts w:ascii="Cambria Math" w:eastAsia="Times New Roman" w:hAnsi="Cambria Math" w:cs="Times New Roman"/>
                        <w:spacing w:val="-2"/>
                        <w:szCs w:val="24"/>
                      </w:rPr>
                      <m:t>R</m:t>
                    </m:r>
                  </m:e>
                  <m:sup>
                    <m:r>
                      <w:rPr>
                        <w:rFonts w:ascii="Cambria Math" w:eastAsia="Times New Roman" w:hAnsi="Cambria Math" w:cs="Times New Roman"/>
                        <w:spacing w:val="-2"/>
                        <w:szCs w:val="24"/>
                      </w:rPr>
                      <m:t>-(j+1)</m:t>
                    </m:r>
                  </m:sup>
                </m:sSup>
                <m:r>
                  <w:rPr>
                    <w:rFonts w:ascii="Cambria Math" w:eastAsia="Times New Roman" w:hAnsi="Cambria Math" w:cs="Times New Roman"/>
                    <w:spacing w:val="-2"/>
                    <w:szCs w:val="24"/>
                  </w:rPr>
                  <m:t>E(</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B</m:t>
                    </m:r>
                  </m:e>
                  <m:sub>
                    <m:r>
                      <w:rPr>
                        <w:rFonts w:ascii="Cambria Math" w:eastAsia="Times New Roman" w:hAnsi="Cambria Math" w:cs="Times New Roman"/>
                        <w:spacing w:val="-2"/>
                        <w:szCs w:val="24"/>
                      </w:rPr>
                      <m:t>t+j</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m:rPr>
                        <m:sty m:val="p"/>
                      </m:rPr>
                      <w:rPr>
                        <w:rFonts w:ascii="Cambria Math" w:eastAsia="Times New Roman" w:hAnsi="Cambria Math" w:cs="Times New Roman"/>
                        <w:spacing w:val="-2"/>
                        <w:szCs w:val="24"/>
                      </w:rPr>
                      <m:t>Ω</m:t>
                    </m:r>
                  </m:e>
                  <m:sub>
                    <m:r>
                      <w:rPr>
                        <w:rFonts w:ascii="Cambria Math" w:eastAsia="Times New Roman" w:hAnsi="Cambria Math" w:cs="Times New Roman"/>
                        <w:spacing w:val="-2"/>
                        <w:szCs w:val="24"/>
                      </w:rPr>
                      <m:t>t-1</m:t>
                    </m:r>
                  </m:sub>
                </m:sSub>
                <m:r>
                  <w:rPr>
                    <w:rFonts w:ascii="Cambria Math" w:eastAsia="Times New Roman" w:hAnsi="Cambria Math" w:cs="Times New Roman"/>
                    <w:spacing w:val="-2"/>
                    <w:szCs w:val="24"/>
                  </w:rPr>
                  <m:t>)-</m:t>
                </m:r>
                <m:nary>
                  <m:naryPr>
                    <m:chr m:val="∑"/>
                    <m:limLoc m:val="undOvr"/>
                    <m:grow m:val="1"/>
                    <m:ctrlPr>
                      <w:rPr>
                        <w:rFonts w:ascii="Cambria Math" w:eastAsia="Times New Roman" w:hAnsi="Cambria Math" w:cs="Times New Roman"/>
                        <w:spacing w:val="-2"/>
                        <w:szCs w:val="24"/>
                      </w:rPr>
                    </m:ctrlPr>
                  </m:naryPr>
                  <m:sub>
                    <m:r>
                      <w:rPr>
                        <w:rFonts w:ascii="Cambria Math" w:eastAsia="Times New Roman" w:hAnsi="Cambria Math" w:cs="Times New Roman"/>
                        <w:spacing w:val="-2"/>
                        <w:szCs w:val="24"/>
                      </w:rPr>
                      <m:t>j=0</m:t>
                    </m:r>
                  </m:sub>
                  <m:sup>
                    <m:r>
                      <m:rPr>
                        <m:sty m:val="p"/>
                      </m:rPr>
                      <w:rPr>
                        <w:rFonts w:ascii="Cambria Math" w:eastAsia="Times New Roman" w:hAnsi="Cambria Math" w:cs="Times New Roman"/>
                        <w:spacing w:val="-2"/>
                        <w:szCs w:val="24"/>
                      </w:rPr>
                      <m:t>∞</m:t>
                    </m:r>
                  </m:sup>
                  <m:e>
                    <m:sSup>
                      <m:sSupPr>
                        <m:ctrlPr>
                          <w:rPr>
                            <w:rFonts w:ascii="Cambria Math" w:eastAsia="Times New Roman" w:hAnsi="Cambria Math" w:cs="Times New Roman"/>
                            <w:i/>
                            <w:spacing w:val="-2"/>
                            <w:szCs w:val="24"/>
                          </w:rPr>
                        </m:ctrlPr>
                      </m:sSupPr>
                      <m:e>
                        <m:r>
                          <w:rPr>
                            <w:rFonts w:ascii="Cambria Math" w:eastAsia="Times New Roman" w:hAnsi="Cambria Math" w:cs="Times New Roman"/>
                            <w:spacing w:val="-2"/>
                            <w:szCs w:val="24"/>
                          </w:rPr>
                          <m:t>R</m:t>
                        </m:r>
                      </m:e>
                      <m:sup>
                        <m:r>
                          <w:rPr>
                            <w:rFonts w:ascii="Cambria Math" w:eastAsia="Times New Roman" w:hAnsi="Cambria Math" w:cs="Times New Roman"/>
                            <w:spacing w:val="-2"/>
                            <w:szCs w:val="24"/>
                          </w:rPr>
                          <m:t>-(j+1)</m:t>
                        </m:r>
                      </m:sup>
                    </m:sSup>
                  </m:e>
                </m:nary>
                <m:r>
                  <w:rPr>
                    <w:rFonts w:ascii="Cambria Math" w:eastAsia="Times New Roman" w:hAnsi="Cambria Math" w:cs="Times New Roman"/>
                    <w:spacing w:val="-2"/>
                    <w:szCs w:val="24"/>
                  </w:rPr>
                  <m:t>E(N</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X</m:t>
                    </m:r>
                  </m:e>
                  <m:sub>
                    <m:r>
                      <w:rPr>
                        <w:rFonts w:ascii="Cambria Math" w:eastAsia="Times New Roman" w:hAnsi="Cambria Math" w:cs="Times New Roman"/>
                        <w:spacing w:val="-2"/>
                        <w:szCs w:val="24"/>
                      </w:rPr>
                      <m:t>t+j</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m:rPr>
                        <m:sty m:val="p"/>
                      </m:rPr>
                      <w:rPr>
                        <w:rFonts w:ascii="Cambria Math" w:eastAsia="Times New Roman" w:hAnsi="Cambria Math" w:cs="Times New Roman"/>
                        <w:spacing w:val="-2"/>
                        <w:szCs w:val="24"/>
                      </w:rPr>
                      <m:t>Ω</m:t>
                    </m:r>
                  </m:e>
                  <m:sub>
                    <m:r>
                      <w:rPr>
                        <w:rFonts w:ascii="Cambria Math" w:eastAsia="Times New Roman" w:hAnsi="Cambria Math" w:cs="Times New Roman"/>
                        <w:spacing w:val="-2"/>
                        <w:szCs w:val="24"/>
                      </w:rPr>
                      <m:t>t-1</m:t>
                    </m:r>
                  </m:sub>
                </m:sSub>
                <m:r>
                  <w:rPr>
                    <w:rFonts w:ascii="Cambria Math" w:eastAsia="Times New Roman" w:hAnsi="Cambria Math" w:cs="Times New Roman"/>
                    <w:spacing w:val="-2"/>
                    <w:szCs w:val="24"/>
                  </w:rPr>
                  <m:t>)</m:t>
                </m:r>
                <m:r>
                  <m:rPr>
                    <m:sty m:val="p"/>
                  </m:rPr>
                  <w:rPr>
                    <w:rFonts w:ascii="Cambria Math" w:eastAsia="Times New Roman" w:hAnsi="Cambria Math" w:cs="Times New Roman"/>
                    <w:spacing w:val="-2"/>
                    <w:szCs w:val="24"/>
                  </w:rPr>
                  <m:t>.</m:t>
                </m:r>
              </m:e>
              <m:e/>
              <m:e>
                <m:r>
                  <m:rPr>
                    <m:nor/>
                  </m:rPr>
                  <w:rPr>
                    <w:rFonts w:eastAsia="Times New Roman" w:cs="Times New Roman"/>
                    <w:spacing w:val="-2"/>
                    <w:szCs w:val="24"/>
                  </w:rPr>
                  <m:t>(6)</m:t>
                </m:r>
              </m:e>
            </m:mr>
          </m:m>
          <m:r>
            <m:rPr>
              <m:sty m:val="p"/>
            </m:rPr>
            <w:rPr>
              <w:rFonts w:eastAsia="Times New Roman" w:cs="Times New Roman"/>
              <w:spacing w:val="-2"/>
              <w:szCs w:val="24"/>
            </w:rPr>
            <w:br/>
          </m:r>
        </m:oMath>
      </m:oMathPara>
    </w:p>
    <w:p w14:paraId="0085B4E5" w14:textId="7BE30507" w:rsidR="00E40C4B" w:rsidRPr="00935EAC" w:rsidRDefault="00E40C4B" w:rsidP="7F267866">
      <w:pPr>
        <w:spacing w:before="100" w:beforeAutospacing="1" w:after="100" w:afterAutospacing="1" w:line="276" w:lineRule="auto"/>
        <w:jc w:val="both"/>
        <w:rPr>
          <w:rFonts w:eastAsia="Times New Roman" w:cs="Times New Roman"/>
          <w:spacing w:val="-2"/>
        </w:rPr>
      </w:pPr>
      <w:r w:rsidRPr="7F267866">
        <w:rPr>
          <w:rFonts w:eastAsia="Times New Roman" w:cs="Times New Roman"/>
          <w:spacing w:val="-2"/>
        </w:rPr>
        <w:t>The long-run budget constraint requires the transversality condition</w:t>
      </w:r>
    </w:p>
    <w:p w14:paraId="24796D8A" w14:textId="77777777" w:rsidR="00E40C4B" w:rsidRPr="00935EAC" w:rsidRDefault="00000000" w:rsidP="0073265E">
      <w:pPr>
        <w:spacing w:before="100" w:beforeAutospacing="1" w:after="100" w:afterAutospacing="1" w:line="276" w:lineRule="auto"/>
        <w:jc w:val="both"/>
        <w:rPr>
          <w:rFonts w:eastAsia="Times New Roman" w:cs="Times New Roman"/>
          <w:spacing w:val="-2"/>
          <w:szCs w:val="24"/>
        </w:rPr>
      </w:pPr>
      <m:oMathPara>
        <m:oMath>
          <m:m>
            <m:mPr>
              <m:plcHide m:val="1"/>
              <m:mcs>
                <m:mc>
                  <m:mcPr>
                    <m:count m:val="4"/>
                    <m:mcJc m:val="center"/>
                  </m:mcPr>
                </m:mc>
              </m:mcs>
              <m:ctrlPr>
                <w:rPr>
                  <w:rFonts w:ascii="Cambria Math" w:eastAsia="Times New Roman" w:hAnsi="Cambria Math" w:cs="Times New Roman"/>
                  <w:spacing w:val="-2"/>
                  <w:szCs w:val="24"/>
                </w:rPr>
              </m:ctrlPr>
            </m:mPr>
            <m:mr>
              <m:e/>
              <m:e>
                <m:limLow>
                  <m:limLowPr>
                    <m:ctrlPr>
                      <w:rPr>
                        <w:rFonts w:ascii="Cambria Math" w:eastAsia="Times New Roman" w:hAnsi="Cambria Math" w:cs="Times New Roman"/>
                        <w:spacing w:val="-2"/>
                        <w:szCs w:val="24"/>
                      </w:rPr>
                    </m:ctrlPr>
                  </m:limLowPr>
                  <m:e>
                    <m:r>
                      <m:rPr>
                        <m:sty m:val="p"/>
                      </m:rPr>
                      <w:rPr>
                        <w:rFonts w:ascii="Cambria Math" w:eastAsia="Times New Roman" w:hAnsi="Cambria Math" w:cs="Times New Roman"/>
                        <w:spacing w:val="-2"/>
                        <w:szCs w:val="24"/>
                      </w:rPr>
                      <m:t>lim</m:t>
                    </m:r>
                    <m:r>
                      <w:rPr>
                        <w:rFonts w:ascii="Cambria Math" w:eastAsia="Times New Roman" w:hAnsi="Cambria Math" w:cs="Times New Roman"/>
                        <w:spacing w:val="-2"/>
                        <w:szCs w:val="24"/>
                      </w:rPr>
                      <m:t>⁡</m:t>
                    </m:r>
                  </m:e>
                  <m:lim>
                    <m:r>
                      <w:rPr>
                        <w:rFonts w:ascii="Cambria Math" w:eastAsia="Times New Roman" w:hAnsi="Cambria Math" w:cs="Times New Roman"/>
                        <w:spacing w:val="-2"/>
                        <w:szCs w:val="24"/>
                      </w:rPr>
                      <m:t>j→</m:t>
                    </m:r>
                    <m:r>
                      <m:rPr>
                        <m:sty m:val="p"/>
                      </m:rPr>
                      <w:rPr>
                        <w:rFonts w:ascii="Cambria Math" w:eastAsia="Times New Roman" w:hAnsi="Cambria Math" w:cs="Times New Roman"/>
                        <w:spacing w:val="-2"/>
                        <w:szCs w:val="24"/>
                      </w:rPr>
                      <m:t>∞</m:t>
                    </m:r>
                  </m:lim>
                </m:limLow>
                <m:sSup>
                  <m:sSupPr>
                    <m:ctrlPr>
                      <w:rPr>
                        <w:rFonts w:ascii="Cambria Math" w:eastAsia="Times New Roman" w:hAnsi="Cambria Math" w:cs="Times New Roman"/>
                        <w:spacing w:val="-2"/>
                        <w:szCs w:val="24"/>
                      </w:rPr>
                    </m:ctrlPr>
                  </m:sSupPr>
                  <m:e>
                    <m:r>
                      <w:rPr>
                        <w:rFonts w:ascii="Cambria Math" w:eastAsia="Times New Roman" w:hAnsi="Cambria Math" w:cs="Times New Roman"/>
                        <w:spacing w:val="-2"/>
                        <w:szCs w:val="24"/>
                      </w:rPr>
                      <m:t>R</m:t>
                    </m:r>
                  </m:e>
                  <m:sup>
                    <m:r>
                      <w:rPr>
                        <w:rFonts w:ascii="Cambria Math" w:eastAsia="Times New Roman" w:hAnsi="Cambria Math" w:cs="Times New Roman"/>
                        <w:spacing w:val="-2"/>
                        <w:szCs w:val="24"/>
                      </w:rPr>
                      <m:t>-(j+1)</m:t>
                    </m:r>
                  </m:sup>
                </m:sSup>
                <m:r>
                  <w:rPr>
                    <w:rFonts w:ascii="Cambria Math" w:eastAsia="Times New Roman" w:hAnsi="Cambria Math" w:cs="Times New Roman"/>
                    <w:spacing w:val="-2"/>
                    <w:szCs w:val="24"/>
                  </w:rPr>
                  <m:t>E(</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B</m:t>
                    </m:r>
                  </m:e>
                  <m:sub>
                    <m:r>
                      <w:rPr>
                        <w:rFonts w:ascii="Cambria Math" w:eastAsia="Times New Roman" w:hAnsi="Cambria Math" w:cs="Times New Roman"/>
                        <w:spacing w:val="-2"/>
                        <w:szCs w:val="24"/>
                      </w:rPr>
                      <m:t>t+j</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m:rPr>
                        <m:sty m:val="p"/>
                      </m:rPr>
                      <w:rPr>
                        <w:rFonts w:ascii="Cambria Math" w:eastAsia="Times New Roman" w:hAnsi="Cambria Math" w:cs="Times New Roman"/>
                        <w:spacing w:val="-2"/>
                        <w:szCs w:val="24"/>
                      </w:rPr>
                      <m:t>Ω</m:t>
                    </m:r>
                  </m:e>
                  <m:sub>
                    <m:r>
                      <w:rPr>
                        <w:rFonts w:ascii="Cambria Math" w:eastAsia="Times New Roman" w:hAnsi="Cambria Math" w:cs="Times New Roman"/>
                        <w:spacing w:val="-2"/>
                        <w:szCs w:val="24"/>
                      </w:rPr>
                      <m:t>t-1</m:t>
                    </m:r>
                  </m:sub>
                </m:sSub>
                <m:r>
                  <w:rPr>
                    <w:rFonts w:ascii="Cambria Math" w:eastAsia="Times New Roman" w:hAnsi="Cambria Math" w:cs="Times New Roman"/>
                    <w:spacing w:val="-2"/>
                    <w:szCs w:val="24"/>
                  </w:rPr>
                  <m:t>)=0.</m:t>
                </m:r>
              </m:e>
              <m:e/>
              <m:e>
                <m:r>
                  <m:rPr>
                    <m:nor/>
                  </m:rPr>
                  <w:rPr>
                    <w:rFonts w:eastAsia="Times New Roman" w:cs="Times New Roman"/>
                    <w:spacing w:val="-2"/>
                    <w:szCs w:val="24"/>
                  </w:rPr>
                  <m:t>(7)</m:t>
                </m:r>
              </m:e>
            </m:mr>
          </m:m>
          <m:r>
            <m:rPr>
              <m:sty m:val="p"/>
            </m:rPr>
            <w:rPr>
              <w:rFonts w:eastAsia="Times New Roman" w:cs="Times New Roman"/>
              <w:spacing w:val="-2"/>
              <w:szCs w:val="24"/>
            </w:rPr>
            <w:br/>
          </m:r>
        </m:oMath>
      </m:oMathPara>
    </w:p>
    <w:p w14:paraId="616C1163" w14:textId="00FBA0AD" w:rsidR="00E40C4B" w:rsidRPr="00935EAC" w:rsidRDefault="00E40C4B" w:rsidP="0073265E">
      <w:pPr>
        <w:spacing w:before="100" w:beforeAutospacing="1" w:after="100" w:afterAutospacing="1" w:line="276" w:lineRule="auto"/>
        <w:jc w:val="both"/>
        <w:rPr>
          <w:rFonts w:eastAsia="Times New Roman" w:cs="Times New Roman"/>
          <w:spacing w:val="-2"/>
          <w:szCs w:val="24"/>
        </w:rPr>
      </w:pPr>
      <w:r w:rsidRPr="00935EAC">
        <w:rPr>
          <w:rFonts w:eastAsia="Times New Roman" w:cs="Times New Roman"/>
          <w:spacing w:val="-2"/>
          <w:szCs w:val="24"/>
        </w:rPr>
        <w:t>holds</w:t>
      </w:r>
      <w:r w:rsidR="00AD6C93">
        <w:rPr>
          <w:rFonts w:eastAsia="Times New Roman" w:cs="Times New Roman"/>
          <w:spacing w:val="-2"/>
          <w:szCs w:val="24"/>
        </w:rPr>
        <w:t>.</w:t>
      </w:r>
      <w:r w:rsidRPr="00935EAC">
        <w:rPr>
          <w:rFonts w:eastAsia="Times New Roman" w:cs="Times New Roman"/>
          <w:spacing w:val="-2"/>
          <w:szCs w:val="24"/>
        </w:rPr>
        <w:t xml:space="preserve"> </w:t>
      </w:r>
      <w:r w:rsidR="00AD6C93" w:rsidRPr="00AD6C93">
        <w:rPr>
          <w:rFonts w:eastAsia="Times New Roman" w:cs="Times New Roman"/>
          <w:spacing w:val="-2"/>
          <w:szCs w:val="24"/>
        </w:rPr>
        <w:t>When the real interest rate is positive, this condition is satisfied if the current account follows a stationary process.</w:t>
      </w:r>
    </w:p>
    <w:p w14:paraId="09E3E889" w14:textId="51E18424" w:rsidR="00E40C4B" w:rsidRPr="00935EAC" w:rsidRDefault="00E40C4B" w:rsidP="0073265E">
      <w:pPr>
        <w:spacing w:before="100" w:beforeAutospacing="1" w:after="100" w:afterAutospacing="1" w:line="276" w:lineRule="auto"/>
        <w:jc w:val="both"/>
        <w:rPr>
          <w:rFonts w:eastAsia="Times New Roman" w:cs="Times New Roman"/>
          <w:spacing w:val="-2"/>
          <w:szCs w:val="24"/>
        </w:rPr>
      </w:pPr>
      <w:r w:rsidRPr="7F267866">
        <w:rPr>
          <w:rFonts w:eastAsia="Times New Roman" w:cs="Times New Roman"/>
          <w:spacing w:val="-2"/>
        </w:rPr>
        <w:t xml:space="preserve">The same logic </w:t>
      </w:r>
      <w:r w:rsidR="00AD6C93" w:rsidRPr="7F267866">
        <w:rPr>
          <w:rFonts w:eastAsia="Times New Roman" w:cs="Times New Roman"/>
          <w:spacing w:val="-2"/>
        </w:rPr>
        <w:t xml:space="preserve">extends naturally to environments with stochastic output growth. </w:t>
      </w:r>
      <w:r w:rsidRPr="7F267866">
        <w:rPr>
          <w:rFonts w:eastAsia="Times New Roman" w:cs="Times New Roman"/>
          <w:spacing w:val="-2"/>
        </w:rPr>
        <w:t xml:space="preserve">Suppose world output grows at rate </w:t>
      </w:r>
      <m:oMath>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g</m:t>
            </m:r>
          </m:e>
          <m:sub>
            <m:r>
              <w:rPr>
                <w:rFonts w:ascii="Cambria Math" w:eastAsia="Times New Roman" w:hAnsi="Cambria Math" w:cs="Times New Roman"/>
                <w:spacing w:val="-2"/>
                <w:szCs w:val="24"/>
              </w:rPr>
              <m:t>t</m:t>
            </m:r>
          </m:sub>
        </m:sSub>
      </m:oMath>
      <w:r w:rsidRPr="7F267866">
        <w:rPr>
          <w:rFonts w:eastAsia="Times New Roman" w:cs="Times New Roman"/>
          <w:spacing w:val="-2"/>
        </w:rPr>
        <w:t xml:space="preserve">with </w:t>
      </w:r>
      <m:oMath>
        <m:r>
          <w:rPr>
            <w:rFonts w:ascii="Cambria Math" w:eastAsia="Times New Roman" w:hAnsi="Cambria Math" w:cs="Times New Roman"/>
            <w:spacing w:val="-2"/>
            <w:szCs w:val="24"/>
          </w:rPr>
          <m:t>E(</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g</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)&gt;0</m:t>
        </m:r>
      </m:oMath>
      <w:r w:rsidRPr="7F267866">
        <w:rPr>
          <w:rFonts w:eastAsia="Times New Roman" w:cs="Times New Roman"/>
          <w:spacing w:val="-2"/>
        </w:rPr>
        <w:t xml:space="preserve">. Define the foreign asset ratio </w:t>
      </w:r>
      <m:oMath>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b</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B</m:t>
            </m:r>
          </m:e>
          <m:sub>
            <m:r>
              <w:rPr>
                <w:rFonts w:ascii="Cambria Math" w:eastAsia="Times New Roman" w:hAnsi="Cambria Math" w:cs="Times New Roman"/>
                <w:spacing w:val="-2"/>
                <w:szCs w:val="24"/>
              </w:rPr>
              <m:t>t</m:t>
            </m:r>
          </m:sub>
        </m:sSub>
        <m:r>
          <m:rPr>
            <m:sty m:val="p"/>
          </m:rP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Y</m:t>
            </m:r>
          </m:e>
          <m:sub>
            <m:r>
              <w:rPr>
                <w:rFonts w:ascii="Cambria Math" w:eastAsia="Times New Roman" w:hAnsi="Cambria Math" w:cs="Times New Roman"/>
                <w:spacing w:val="-2"/>
                <w:szCs w:val="24"/>
              </w:rPr>
              <m:t>t</m:t>
            </m:r>
          </m:sub>
        </m:sSub>
      </m:oMath>
      <w:r w:rsidRPr="7F267866">
        <w:rPr>
          <w:rFonts w:eastAsia="Times New Roman" w:cs="Times New Roman"/>
          <w:spacing w:val="-2"/>
        </w:rPr>
        <w:t xml:space="preserve"> and the scaled return</w:t>
      </w:r>
    </w:p>
    <w:p w14:paraId="075C783C" w14:textId="77777777" w:rsidR="00E40C4B" w:rsidRPr="00935EAC" w:rsidRDefault="00000000" w:rsidP="0073265E">
      <w:pPr>
        <w:spacing w:before="100" w:beforeAutospacing="1" w:after="100" w:afterAutospacing="1" w:line="276" w:lineRule="auto"/>
        <w:jc w:val="both"/>
        <w:rPr>
          <w:rFonts w:eastAsia="Times New Roman" w:cs="Times New Roman"/>
          <w:spacing w:val="-2"/>
          <w:szCs w:val="24"/>
        </w:rPr>
      </w:pPr>
      <m:oMathPara>
        <m:oMath>
          <m:m>
            <m:mPr>
              <m:plcHide m:val="1"/>
              <m:mcs>
                <m:mc>
                  <m:mcPr>
                    <m:count m:val="4"/>
                    <m:mcJc m:val="center"/>
                  </m:mcPr>
                </m:mc>
              </m:mcs>
              <m:ctrlPr>
                <w:rPr>
                  <w:rFonts w:ascii="Cambria Math" w:eastAsia="Times New Roman" w:hAnsi="Cambria Math" w:cs="Times New Roman"/>
                  <w:spacing w:val="-2"/>
                  <w:szCs w:val="24"/>
                </w:rPr>
              </m:ctrlPr>
            </m:mPr>
            <m:mr>
              <m:e/>
              <m:e>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ρ</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m:t>
                </m:r>
                <m:f>
                  <m:fPr>
                    <m:ctrlPr>
                      <w:rPr>
                        <w:rFonts w:ascii="Cambria Math" w:eastAsia="Times New Roman" w:hAnsi="Cambria Math" w:cs="Times New Roman"/>
                        <w:spacing w:val="-2"/>
                        <w:szCs w:val="24"/>
                      </w:rPr>
                    </m:ctrlPr>
                  </m:fPr>
                  <m:num>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R</m:t>
                        </m:r>
                      </m:e>
                      <m:sub>
                        <m:r>
                          <w:rPr>
                            <w:rFonts w:ascii="Cambria Math" w:eastAsia="Times New Roman" w:hAnsi="Cambria Math" w:cs="Times New Roman"/>
                            <w:spacing w:val="-2"/>
                            <w:szCs w:val="24"/>
                          </w:rPr>
                          <m:t>t</m:t>
                        </m:r>
                      </m:sub>
                    </m:sSub>
                  </m:num>
                  <m:den>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g</m:t>
                        </m:r>
                      </m:e>
                      <m:sub>
                        <m:r>
                          <w:rPr>
                            <w:rFonts w:ascii="Cambria Math" w:eastAsia="Times New Roman" w:hAnsi="Cambria Math" w:cs="Times New Roman"/>
                            <w:spacing w:val="-2"/>
                            <w:szCs w:val="24"/>
                          </w:rPr>
                          <m:t>t</m:t>
                        </m:r>
                      </m:sub>
                    </m:sSub>
                  </m:den>
                </m:f>
                <m:r>
                  <m:rPr>
                    <m:sty m:val="p"/>
                  </m:rPr>
                  <w:rPr>
                    <w:rFonts w:ascii="Cambria Math" w:eastAsia="Times New Roman" w:hAnsi="Cambria Math" w:cs="Times New Roman"/>
                    <w:spacing w:val="-2"/>
                    <w:szCs w:val="24"/>
                  </w:rPr>
                  <m:t>.</m:t>
                </m:r>
              </m:e>
              <m:e/>
              <m:e>
                <m:r>
                  <m:rPr>
                    <m:nor/>
                  </m:rPr>
                  <w:rPr>
                    <w:rFonts w:eastAsia="Times New Roman" w:cs="Times New Roman"/>
                    <w:spacing w:val="-2"/>
                    <w:szCs w:val="24"/>
                  </w:rPr>
                  <m:t>(8)</m:t>
                </m:r>
              </m:e>
            </m:mr>
          </m:m>
          <m:r>
            <m:rPr>
              <m:sty m:val="p"/>
            </m:rPr>
            <w:rPr>
              <w:rFonts w:eastAsia="Times New Roman" w:cs="Times New Roman"/>
              <w:spacing w:val="-2"/>
              <w:szCs w:val="24"/>
            </w:rPr>
            <w:br/>
          </m:r>
        </m:oMath>
      </m:oMathPara>
    </w:p>
    <w:p w14:paraId="017D4C93" w14:textId="77777777" w:rsidR="00E40C4B" w:rsidRPr="00935EAC" w:rsidRDefault="00E40C4B" w:rsidP="0073265E">
      <w:pPr>
        <w:spacing w:before="100" w:beforeAutospacing="1" w:after="100" w:afterAutospacing="1" w:line="276" w:lineRule="auto"/>
        <w:jc w:val="both"/>
        <w:rPr>
          <w:rFonts w:eastAsia="Times New Roman" w:cs="Times New Roman"/>
          <w:spacing w:val="-2"/>
          <w:szCs w:val="24"/>
        </w:rPr>
      </w:pPr>
      <w:r w:rsidRPr="00935EAC">
        <w:rPr>
          <w:rFonts w:eastAsia="Times New Roman" w:cs="Times New Roman"/>
          <w:spacing w:val="-2"/>
          <w:szCs w:val="24"/>
        </w:rPr>
        <w:lastRenderedPageBreak/>
        <w:t>The intertemporal constraint then becomes</w:t>
      </w:r>
    </w:p>
    <w:p w14:paraId="3EEF4E69" w14:textId="77777777" w:rsidR="00E40C4B" w:rsidRPr="00935EAC" w:rsidRDefault="00000000" w:rsidP="0073265E">
      <w:pPr>
        <w:spacing w:before="100" w:beforeAutospacing="1" w:after="100" w:afterAutospacing="1" w:line="276" w:lineRule="auto"/>
        <w:jc w:val="both"/>
        <w:rPr>
          <w:rFonts w:eastAsia="Times New Roman" w:cs="Times New Roman"/>
          <w:spacing w:val="-2"/>
          <w:szCs w:val="24"/>
        </w:rPr>
      </w:pPr>
      <m:oMathPara>
        <m:oMath>
          <m:m>
            <m:mPr>
              <m:plcHide m:val="1"/>
              <m:mcs>
                <m:mc>
                  <m:mcPr>
                    <m:count m:val="4"/>
                    <m:mcJc m:val="center"/>
                  </m:mcPr>
                </m:mc>
              </m:mcs>
              <m:ctrlPr>
                <w:rPr>
                  <w:rFonts w:ascii="Cambria Math" w:eastAsia="Times New Roman" w:hAnsi="Cambria Math" w:cs="Times New Roman"/>
                  <w:spacing w:val="-2"/>
                  <w:szCs w:val="24"/>
                </w:rPr>
              </m:ctrlPr>
            </m:mPr>
            <m:mr>
              <m:e/>
              <m:e>
                <m:limLow>
                  <m:limLowPr>
                    <m:ctrlPr>
                      <w:rPr>
                        <w:rFonts w:ascii="Cambria Math" w:eastAsia="Times New Roman" w:hAnsi="Cambria Math" w:cs="Times New Roman"/>
                        <w:spacing w:val="-2"/>
                        <w:szCs w:val="24"/>
                      </w:rPr>
                    </m:ctrlPr>
                  </m:limLowPr>
                  <m:e>
                    <m:r>
                      <m:rPr>
                        <m:sty m:val="p"/>
                      </m:rPr>
                      <w:rPr>
                        <w:rFonts w:ascii="Cambria Math" w:eastAsia="Times New Roman" w:hAnsi="Cambria Math" w:cs="Times New Roman"/>
                        <w:spacing w:val="-2"/>
                        <w:szCs w:val="24"/>
                      </w:rPr>
                      <m:t>lim</m:t>
                    </m:r>
                    <m:r>
                      <w:rPr>
                        <w:rFonts w:ascii="Cambria Math" w:eastAsia="Times New Roman" w:hAnsi="Cambria Math" w:cs="Times New Roman"/>
                        <w:spacing w:val="-2"/>
                        <w:szCs w:val="24"/>
                      </w:rPr>
                      <m:t>⁡</m:t>
                    </m:r>
                  </m:e>
                  <m:lim>
                    <m:r>
                      <w:rPr>
                        <w:rFonts w:ascii="Cambria Math" w:eastAsia="Times New Roman" w:hAnsi="Cambria Math" w:cs="Times New Roman"/>
                        <w:spacing w:val="-2"/>
                        <w:szCs w:val="24"/>
                      </w:rPr>
                      <m:t>j→</m:t>
                    </m:r>
                    <m:r>
                      <m:rPr>
                        <m:sty m:val="p"/>
                      </m:rPr>
                      <w:rPr>
                        <w:rFonts w:ascii="Cambria Math" w:eastAsia="Times New Roman" w:hAnsi="Cambria Math" w:cs="Times New Roman"/>
                        <w:spacing w:val="-2"/>
                        <w:szCs w:val="24"/>
                      </w:rPr>
                      <m:t>∞</m:t>
                    </m:r>
                  </m:lim>
                </m:limLow>
                <m:sSubSup>
                  <m:sSubSupPr>
                    <m:ctrlPr>
                      <w:rPr>
                        <w:rFonts w:ascii="Cambria Math" w:eastAsia="Times New Roman" w:hAnsi="Cambria Math" w:cs="Times New Roman"/>
                        <w:spacing w:val="-2"/>
                        <w:szCs w:val="24"/>
                      </w:rPr>
                    </m:ctrlPr>
                  </m:sSubSupPr>
                  <m:e>
                    <m:r>
                      <w:rPr>
                        <w:rFonts w:ascii="Cambria Math" w:eastAsia="Times New Roman" w:hAnsi="Cambria Math" w:cs="Times New Roman"/>
                        <w:spacing w:val="-2"/>
                        <w:szCs w:val="24"/>
                      </w:rPr>
                      <m:t>ρ</m:t>
                    </m:r>
                  </m:e>
                  <m:sub>
                    <m:r>
                      <w:rPr>
                        <w:rFonts w:ascii="Cambria Math" w:eastAsia="Times New Roman" w:hAnsi="Cambria Math" w:cs="Times New Roman"/>
                        <w:spacing w:val="-2"/>
                        <w:szCs w:val="24"/>
                      </w:rPr>
                      <m:t>t</m:t>
                    </m:r>
                  </m:sub>
                  <m:sup>
                    <m:r>
                      <w:rPr>
                        <w:rFonts w:ascii="Cambria Math" w:eastAsia="Times New Roman" w:hAnsi="Cambria Math" w:cs="Times New Roman"/>
                        <w:spacing w:val="-2"/>
                        <w:szCs w:val="24"/>
                      </w:rPr>
                      <m:t>-(j+1)</m:t>
                    </m:r>
                  </m:sup>
                </m:sSubSup>
                <m:r>
                  <w:rPr>
                    <w:rFonts w:ascii="Cambria Math" w:eastAsia="Times New Roman" w:hAnsi="Cambria Math" w:cs="Times New Roman"/>
                    <w:spacing w:val="-2"/>
                    <w:szCs w:val="24"/>
                  </w:rPr>
                  <m:t>E(</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b</m:t>
                    </m:r>
                  </m:e>
                  <m:sub>
                    <m:r>
                      <w:rPr>
                        <w:rFonts w:ascii="Cambria Math" w:eastAsia="Times New Roman" w:hAnsi="Cambria Math" w:cs="Times New Roman"/>
                        <w:spacing w:val="-2"/>
                        <w:szCs w:val="24"/>
                      </w:rPr>
                      <m:t>t+j</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m:rPr>
                        <m:sty m:val="p"/>
                      </m:rPr>
                      <w:rPr>
                        <w:rFonts w:ascii="Cambria Math" w:eastAsia="Times New Roman" w:hAnsi="Cambria Math" w:cs="Times New Roman"/>
                        <w:spacing w:val="-2"/>
                        <w:szCs w:val="24"/>
                      </w:rPr>
                      <m:t>Ω</m:t>
                    </m:r>
                  </m:e>
                  <m:sub>
                    <m:r>
                      <w:rPr>
                        <w:rFonts w:ascii="Cambria Math" w:eastAsia="Times New Roman" w:hAnsi="Cambria Math" w:cs="Times New Roman"/>
                        <w:spacing w:val="-2"/>
                        <w:szCs w:val="24"/>
                      </w:rPr>
                      <m:t>t-1</m:t>
                    </m:r>
                  </m:sub>
                </m:sSub>
                <m:r>
                  <w:rPr>
                    <w:rFonts w:ascii="Cambria Math" w:eastAsia="Times New Roman" w:hAnsi="Cambria Math" w:cs="Times New Roman"/>
                    <w:spacing w:val="-2"/>
                    <w:szCs w:val="24"/>
                  </w:rPr>
                  <m:t>)=0,</m:t>
                </m:r>
              </m:e>
              <m:e/>
              <m:e>
                <m:r>
                  <m:rPr>
                    <m:nor/>
                  </m:rPr>
                  <w:rPr>
                    <w:rFonts w:eastAsia="Times New Roman" w:cs="Times New Roman"/>
                    <w:spacing w:val="-2"/>
                    <w:szCs w:val="24"/>
                  </w:rPr>
                  <m:t>(9)</m:t>
                </m:r>
              </m:e>
            </m:mr>
          </m:m>
          <m:r>
            <m:rPr>
              <m:sty m:val="p"/>
            </m:rPr>
            <w:rPr>
              <w:rFonts w:eastAsia="Times New Roman" w:cs="Times New Roman"/>
              <w:spacing w:val="-2"/>
              <w:szCs w:val="24"/>
            </w:rPr>
            <w:br/>
          </m:r>
        </m:oMath>
      </m:oMathPara>
    </w:p>
    <w:p w14:paraId="7D9FF606" w14:textId="6C9FE450" w:rsidR="00E40C4B" w:rsidRDefault="00E40C4B" w:rsidP="0073265E">
      <w:pPr>
        <w:spacing w:before="100" w:beforeAutospacing="1" w:after="100" w:afterAutospacing="1" w:line="276" w:lineRule="auto"/>
        <w:jc w:val="both"/>
        <w:rPr>
          <w:rFonts w:eastAsia="Times New Roman" w:cs="Times New Roman"/>
          <w:spacing w:val="-2"/>
          <w:szCs w:val="24"/>
        </w:rPr>
      </w:pPr>
      <w:r w:rsidRPr="7F267866">
        <w:rPr>
          <w:rFonts w:eastAsia="Times New Roman" w:cs="Times New Roman"/>
          <w:spacing w:val="-2"/>
        </w:rPr>
        <w:t xml:space="preserve">which holds when </w:t>
      </w:r>
      <m:oMath>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ρ</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&gt;1</m:t>
        </m:r>
      </m:oMath>
      <w:r w:rsidRPr="7F267866">
        <w:rPr>
          <w:rFonts w:eastAsia="Times New Roman" w:cs="Times New Roman"/>
          <w:spacing w:val="-2"/>
        </w:rPr>
        <w:t xml:space="preserve"> and the current account expressed as a share of output is stationary.</w:t>
      </w:r>
    </w:p>
    <w:p w14:paraId="45A3C382" w14:textId="7C1D2F80" w:rsidR="00AD6C93" w:rsidRPr="00AD6C93" w:rsidRDefault="00AD6C93" w:rsidP="3F82F0DF">
      <w:pPr>
        <w:spacing w:before="100" w:beforeAutospacing="1" w:after="100" w:afterAutospacing="1" w:line="276" w:lineRule="auto"/>
        <w:jc w:val="both"/>
        <w:rPr>
          <w:rFonts w:eastAsia="Times New Roman" w:cs="Times New Roman"/>
          <w:spacing w:val="-2"/>
        </w:rPr>
      </w:pPr>
      <w:r w:rsidRPr="3F82F0DF">
        <w:rPr>
          <w:rFonts w:eastAsia="Times New Roman" w:cs="Times New Roman"/>
          <w:spacing w:val="-2"/>
        </w:rPr>
        <w:t>This framework delivers a clear theoretical benchmark: sustained violations of stationarity in the current account are inconsistent with the intertemporal budget constraint. At the same time, the model allows for temporary deviations driven by shocks to income, preferences, fiscal policy, or investment opportunities. As Taylor (2002) emphasizes, periods of apparently “unsustainable” current account behavior need not imply a violation of the long-run constraint, provided that corrective dynamics eventually restore balance.</w:t>
      </w:r>
    </w:p>
    <w:p w14:paraId="6A9D5223" w14:textId="7AE968BB" w:rsidR="00AD6C93" w:rsidRDefault="00AD6C93" w:rsidP="3F82F0DF">
      <w:pPr>
        <w:spacing w:before="100" w:beforeAutospacing="1" w:after="100" w:afterAutospacing="1" w:line="276" w:lineRule="auto"/>
        <w:jc w:val="both"/>
        <w:rPr>
          <w:rFonts w:eastAsia="Times New Roman" w:cs="Times New Roman"/>
          <w:spacing w:val="-2"/>
        </w:rPr>
      </w:pPr>
      <w:r w:rsidRPr="3F82F0DF">
        <w:rPr>
          <w:rFonts w:eastAsia="Times New Roman" w:cs="Times New Roman"/>
          <w:spacing w:val="-2"/>
        </w:rPr>
        <w:t xml:space="preserve">This distinction between long-run sustainability and </w:t>
      </w:r>
      <w:r w:rsidRPr="3F82F0DF">
        <w:rPr>
          <w:rFonts w:eastAsia="Times New Roman" w:cs="Times New Roman"/>
          <w:spacing w:val="-2"/>
        </w:rPr>
        <w:noBreakHyphen/>
        <w:t xml:space="preserve">short-run dynamics is central to interpreting empirical evidence. Linear unit root tests that reject stationarity may conflate temporary shifts in persistence with genuine failures of the intertemporal constraint. If the parameters governing persistence, volatility, or mean adjustment change over time, standard tests may yield misleading conclusions. These considerations motivate empirical approaches that allow for regime-dependent dynamics, in which current account behavior can alternate between stationary, highly persistent, and even explosive episodes without violating the underlying theoretical restriction in the long </w:t>
      </w:r>
      <w:r w:rsidR="00FD1C39" w:rsidRPr="3F82F0DF">
        <w:rPr>
          <w:rFonts w:eastAsia="Times New Roman" w:cs="Times New Roman"/>
          <w:spacing w:val="-2"/>
        </w:rPr>
        <w:t>run.</w:t>
      </w:r>
    </w:p>
    <w:p w14:paraId="7F33565E" w14:textId="0145F061" w:rsidR="00AD6C93" w:rsidRPr="00AD6C93" w:rsidRDefault="00AD6C93" w:rsidP="3F82F0DF">
      <w:pPr>
        <w:spacing w:before="100" w:beforeAutospacing="1" w:after="100" w:afterAutospacing="1" w:line="276" w:lineRule="auto"/>
        <w:jc w:val="both"/>
        <w:rPr>
          <w:rFonts w:eastAsia="Times New Roman" w:cs="Times New Roman"/>
          <w:spacing w:val="-2"/>
        </w:rPr>
      </w:pPr>
      <w:r w:rsidRPr="3F82F0DF">
        <w:rPr>
          <w:rFonts w:eastAsia="Times New Roman" w:cs="Times New Roman"/>
          <w:spacing w:val="-2"/>
        </w:rPr>
        <w:t>An alternative but complementary perspective on external sustainability is provided by the fiscal reaction</w:t>
      </w:r>
      <w:r w:rsidR="00FD1C39">
        <w:rPr>
          <w:rFonts w:eastAsia="Times New Roman" w:cs="Times New Roman"/>
          <w:spacing w:val="-2"/>
        </w:rPr>
        <w:t xml:space="preserve"> f</w:t>
      </w:r>
      <w:r w:rsidRPr="3F82F0DF">
        <w:rPr>
          <w:rFonts w:eastAsia="Times New Roman" w:cs="Times New Roman"/>
          <w:spacing w:val="-2"/>
        </w:rPr>
        <w:t xml:space="preserve">unction approach pioneered by Bohn (1998). Rather than requiring strict stationarity of the current account at all horizons, this framework emphasizes whether policy responses are sufficiently stabilizing to prevent explosive accumulation of external liabilities. Applied to the external balance, sustainability requires that the current account, equivalently, net exports, respond endogenously to the level of net foreign assets in a manner that ensures bounded debt dynamics over the long run. Under this logic, temporary episodes of highly persistent or even explosive current account behavior are not necessarily inconsistent with sustainability, provided that corrective forces eventually dominate. This insight aligns closely with the intertemporal framework discussed above and underscores the importance of distinguishing between local dynamics and global stability. Empirical approaches that allow adjustment behavior to vary across regimes, capturing periods of weak feedback alongside episodes of strong correction, offer a natural way to reconcile observed current account persistence with long-run sustainability. This perspective motivates our use of a </w:t>
      </w:r>
      <w:r w:rsidRPr="3F82F0DF">
        <w:rPr>
          <w:rFonts w:eastAsia="Times New Roman" w:cs="Times New Roman"/>
          <w:spacing w:val="-2"/>
        </w:rPr>
        <w:noBreakHyphen/>
        <w:t>regime switching</w:t>
      </w:r>
      <w:r w:rsidRPr="3F82F0DF">
        <w:rPr>
          <w:rFonts w:eastAsia="Times New Roman" w:cs="Times New Roman"/>
          <w:spacing w:val="-2"/>
        </w:rPr>
        <w:noBreakHyphen/>
        <w:t xml:space="preserve"> framework in the empirical analysis that follows.</w:t>
      </w:r>
    </w:p>
    <w:p w14:paraId="176C696F" w14:textId="6470B66B" w:rsidR="00514562" w:rsidRPr="007347B7" w:rsidRDefault="7F267866" w:rsidP="7F267866">
      <w:pPr>
        <w:spacing w:before="100" w:beforeAutospacing="1" w:after="100" w:afterAutospacing="1" w:line="276" w:lineRule="auto"/>
        <w:jc w:val="both"/>
        <w:rPr>
          <w:rFonts w:eastAsia="Times New Roman" w:cs="Times New Roman"/>
        </w:rPr>
      </w:pPr>
      <w:r w:rsidRPr="7F267866">
        <w:rPr>
          <w:rFonts w:eastAsia="Times New Roman"/>
          <w:b/>
          <w:bCs/>
        </w:rPr>
        <w:t xml:space="preserve">3. </w:t>
      </w:r>
      <w:bookmarkStart w:id="3" w:name="Methodology_and_data"/>
      <w:bookmarkStart w:id="4" w:name="_bookmark2"/>
      <w:bookmarkEnd w:id="3"/>
      <w:bookmarkEnd w:id="4"/>
      <w:r w:rsidRPr="7F267866">
        <w:rPr>
          <w:rFonts w:eastAsia="Times New Roman"/>
          <w:b/>
          <w:bCs/>
        </w:rPr>
        <w:t>Stationarity of current account balances and regime shifts</w:t>
      </w:r>
    </w:p>
    <w:p w14:paraId="69E7B46F" w14:textId="38BDA4B1" w:rsidR="00AD6C93" w:rsidRPr="00AD6C93" w:rsidRDefault="00AD6C93" w:rsidP="00AD6C93">
      <w:pPr>
        <w:rPr>
          <w:rFonts w:eastAsia="Times New Roman" w:cs="Times New Roman"/>
          <w:spacing w:val="-2"/>
          <w:szCs w:val="24"/>
        </w:rPr>
      </w:pPr>
      <w:bookmarkStart w:id="5" w:name="Data"/>
      <w:bookmarkStart w:id="6" w:name="Methodology"/>
      <w:bookmarkEnd w:id="5"/>
      <w:bookmarkEnd w:id="6"/>
      <w:r w:rsidRPr="00AD6C93">
        <w:rPr>
          <w:rFonts w:eastAsia="Times New Roman" w:cs="Times New Roman"/>
          <w:spacing w:val="-2"/>
          <w:szCs w:val="24"/>
        </w:rPr>
        <w:t>Motivated by the distinction between short‑run persistence and long‑run sustainability emphasized by both the intertemporal budget constraint and the Bohn‑style reaction‑function approach, we now turn to an empirical assessment of current account dynamics</w:t>
      </w:r>
      <w:r>
        <w:rPr>
          <w:rFonts w:eastAsia="Times New Roman" w:cs="Times New Roman"/>
          <w:spacing w:val="-2"/>
          <w:szCs w:val="24"/>
        </w:rPr>
        <w:t>. Our approach begins with an examination of linear unit root tests</w:t>
      </w:r>
      <w:r w:rsidR="008A269E">
        <w:rPr>
          <w:rFonts w:eastAsia="Times New Roman" w:cs="Times New Roman"/>
          <w:spacing w:val="-2"/>
          <w:szCs w:val="24"/>
        </w:rPr>
        <w:t xml:space="preserve">, which we then adapt to </w:t>
      </w:r>
      <w:r w:rsidRPr="00AD6C93">
        <w:rPr>
          <w:rFonts w:eastAsia="Times New Roman" w:cs="Times New Roman"/>
          <w:spacing w:val="-2"/>
          <w:szCs w:val="24"/>
        </w:rPr>
        <w:t>allow adjustment behavior to vary across regimes.</w:t>
      </w:r>
    </w:p>
    <w:p w14:paraId="48371A3F" w14:textId="14365B9D" w:rsidR="00306AF1" w:rsidRPr="007347B7" w:rsidRDefault="00C93255" w:rsidP="0073265E">
      <w:pPr>
        <w:spacing w:before="100" w:beforeAutospacing="1" w:after="100" w:afterAutospacing="1"/>
        <w:jc w:val="both"/>
        <w:rPr>
          <w:rFonts w:eastAsia="Times New Roman"/>
          <w:bCs/>
        </w:rPr>
      </w:pPr>
      <w:r w:rsidRPr="0073265E">
        <w:rPr>
          <w:rFonts w:eastAsia="Times New Roman"/>
          <w:b/>
          <w:bCs/>
        </w:rPr>
        <w:lastRenderedPageBreak/>
        <w:t>3.1. Linear unit root tests</w:t>
      </w:r>
    </w:p>
    <w:p w14:paraId="650A6CA4" w14:textId="60D11D12" w:rsidR="008A269E" w:rsidRPr="008A269E" w:rsidRDefault="008A269E" w:rsidP="7F267866">
      <w:pPr>
        <w:spacing w:before="100" w:beforeAutospacing="1" w:after="100" w:afterAutospacing="1"/>
        <w:jc w:val="both"/>
        <w:rPr>
          <w:rFonts w:eastAsia="Times New Roman" w:cs="Times New Roman"/>
          <w:spacing w:val="-2"/>
        </w:rPr>
      </w:pPr>
      <w:r w:rsidRPr="7F267866">
        <w:rPr>
          <w:rFonts w:eastAsia="Times New Roman" w:cs="Times New Roman"/>
          <w:spacing w:val="-2"/>
        </w:rPr>
        <w:t>Standard linear unit root tests provide a natural benchmark for assessing current account persistence. We apply ADF, DFGLS, and Phillips–Perron tests to current account balances expressed as a share of GDP across our 77-country sample (full results in Appendix 2). These tests assume that the mean, variance, and persistence of the current account process are time-invariant. This assumption may be too restrictive when dynamics shift over time due to structural change, policy regime shifts, or episodic adjustment. We therefore treat their results as a descriptive baseline rather than a definitive assessment, using them to motivate the regime-switching framework in Section 3.2.</w:t>
      </w:r>
    </w:p>
    <w:p w14:paraId="1445B9F4" w14:textId="469AE708" w:rsidR="008A269E" w:rsidRPr="008A269E" w:rsidRDefault="008A269E" w:rsidP="58085007">
      <w:pPr>
        <w:spacing w:before="100" w:beforeAutospacing="1" w:after="100" w:afterAutospacing="1" w:line="276" w:lineRule="auto"/>
        <w:jc w:val="both"/>
        <w:rPr>
          <w:rFonts w:eastAsia="Times New Roman" w:cs="Times New Roman"/>
          <w:spacing w:val="-2"/>
        </w:rPr>
      </w:pPr>
      <w:r w:rsidRPr="58085007">
        <w:rPr>
          <w:rFonts w:eastAsia="Times New Roman" w:cs="Times New Roman"/>
          <w:spacing w:val="-2"/>
        </w:rPr>
        <w:t xml:space="preserve">Figure 4 summarizes the classification outcomes across tests. The central message is that conclusions are highly </w:t>
      </w:r>
      <w:r w:rsidR="00E32E3E" w:rsidRPr="58085007">
        <w:rPr>
          <w:rFonts w:eastAsia="Times New Roman" w:cs="Times New Roman"/>
          <w:spacing w:val="-2"/>
        </w:rPr>
        <w:t>test dependent</w:t>
      </w:r>
      <w:r w:rsidRPr="58085007">
        <w:rPr>
          <w:rFonts w:eastAsia="Times New Roman" w:cs="Times New Roman"/>
          <w:spacing w:val="-2"/>
        </w:rPr>
        <w:t>. The ADF and DFGLS tests are relatively conservative, with roughly half of all series failing to reject a unit root at conventional levels; Phillips–Perron statistics reject the null for a substantially larger share of countries, consistent with those tests' greater sensitivity to time variation in persistence and volatility. The KPSS test rejects stationarity for more than 80 percent of series. Cross-country heterogeneity is also pronounced: some economies show consistent mean-reverting evidence across multiple tests while others produce contradictory results, likely reflecting heterogeneity in policy frameworks, shock exposure, and available sample length. Rather than treating this divergence as evidence for or against stationarity, we interpret it as confirmation that a single constant-parameter linear framework is inadequate and that time variation in current account dynamics must be accommodated</w:t>
      </w:r>
      <w:r w:rsidR="00E32E3E" w:rsidRPr="58085007">
        <w:rPr>
          <w:rFonts w:eastAsia="Times New Roman" w:cs="Times New Roman"/>
          <w:spacing w:val="-2"/>
        </w:rPr>
        <w:t xml:space="preserve">, </w:t>
      </w:r>
      <w:r w:rsidRPr="58085007">
        <w:rPr>
          <w:rFonts w:eastAsia="Times New Roman" w:cs="Times New Roman"/>
          <w:spacing w:val="-2"/>
        </w:rPr>
        <w:t>motivating the Markov switching approach in Section 3.2.</w:t>
      </w:r>
    </w:p>
    <w:p w14:paraId="3356EBB4" w14:textId="70589F1A" w:rsidR="00E53F7F" w:rsidRDefault="00D15B87" w:rsidP="00D15B87">
      <w:pPr>
        <w:spacing w:before="100" w:beforeAutospacing="1" w:after="100" w:afterAutospacing="1" w:line="276" w:lineRule="auto"/>
        <w:jc w:val="center"/>
        <w:rPr>
          <w:rFonts w:eastAsia="Times New Roman" w:cs="Times New Roman"/>
          <w:b/>
          <w:bCs/>
          <w:spacing w:val="-2"/>
          <w:szCs w:val="24"/>
        </w:rPr>
      </w:pPr>
      <w:r>
        <w:rPr>
          <w:b/>
          <w:bCs/>
          <w:noProof/>
          <w:szCs w:val="24"/>
          <w14:ligatures w14:val="standardContextual"/>
        </w:rPr>
        <w:lastRenderedPageBreak/>
        <w:drawing>
          <wp:inline distT="0" distB="0" distL="0" distR="0" wp14:anchorId="12DC9B8A" wp14:editId="3E218EA6">
            <wp:extent cx="6400800" cy="4946015"/>
            <wp:effectExtent l="0" t="0" r="0" b="6985"/>
            <wp:docPr id="21453864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386468" name="Picture 2145386468"/>
                    <pic:cNvPicPr/>
                  </pic:nvPicPr>
                  <pic:blipFill>
                    <a:blip r:embed="rId11">
                      <a:extLst>
                        <a:ext uri="{28A0092B-C50C-407E-A947-70E740481C1C}">
                          <a14:useLocalDpi xmlns:a14="http://schemas.microsoft.com/office/drawing/2010/main" val="0"/>
                        </a:ext>
                      </a:extLst>
                    </a:blip>
                    <a:stretch>
                      <a:fillRect/>
                    </a:stretch>
                  </pic:blipFill>
                  <pic:spPr>
                    <a:xfrm>
                      <a:off x="0" y="0"/>
                      <a:ext cx="6400800" cy="4946015"/>
                    </a:xfrm>
                    <a:prstGeom prst="rect">
                      <a:avLst/>
                    </a:prstGeom>
                  </pic:spPr>
                </pic:pic>
              </a:graphicData>
            </a:graphic>
          </wp:inline>
        </w:drawing>
      </w:r>
      <w:r w:rsidR="00E53F7F" w:rsidRPr="0073265E">
        <w:rPr>
          <w:b/>
          <w:bCs/>
          <w:szCs w:val="24"/>
        </w:rPr>
        <w:t xml:space="preserve">Figure </w:t>
      </w:r>
      <w:r w:rsidR="00E53F7F" w:rsidRPr="002B2EA0">
        <w:rPr>
          <w:b/>
          <w:bCs/>
          <w:szCs w:val="24"/>
        </w:rPr>
        <w:t>4</w:t>
      </w:r>
      <w:r w:rsidR="00E53F7F">
        <w:rPr>
          <w:b/>
          <w:bCs/>
          <w:szCs w:val="24"/>
        </w:rPr>
        <w:t>. Linear Unit Root Results</w:t>
      </w:r>
    </w:p>
    <w:p w14:paraId="23B8019D" w14:textId="12302E61" w:rsidR="007A4099" w:rsidRPr="007347B7" w:rsidRDefault="58085007" w:rsidP="58085007">
      <w:pPr>
        <w:spacing w:before="100" w:beforeAutospacing="1" w:after="100" w:afterAutospacing="1"/>
        <w:jc w:val="both"/>
        <w:rPr>
          <w:rFonts w:eastAsia="Times New Roman"/>
        </w:rPr>
      </w:pPr>
      <w:r w:rsidRPr="58085007">
        <w:rPr>
          <w:rFonts w:eastAsia="Times New Roman"/>
          <w:b/>
          <w:bCs/>
        </w:rPr>
        <w:t>3.2 Markov Switching Estimation</w:t>
      </w:r>
    </w:p>
    <w:p w14:paraId="4976CE3F" w14:textId="486F7047" w:rsidR="008A269E" w:rsidRPr="008A269E" w:rsidRDefault="58085007" w:rsidP="7F267866">
      <w:pPr>
        <w:spacing w:before="100" w:beforeAutospacing="1" w:after="100" w:afterAutospacing="1"/>
        <w:jc w:val="both"/>
        <w:rPr>
          <w:rFonts w:eastAsia="Times New Roman"/>
        </w:rPr>
      </w:pPr>
      <w:r w:rsidRPr="58085007">
        <w:rPr>
          <w:rFonts w:eastAsia="Times New Roman"/>
        </w:rPr>
        <w:t>To account for time variation in current account dynamics, we estimate a Markov switching autoregressive model that allows persistence, volatility, and the mean to change across regimes. Our empirical strategy follows Morita et al. (2024), who propose a framework designed to distinguish stationary, unit root, and explosive behavior within a unified nonlinear model.</w:t>
      </w:r>
    </w:p>
    <w:p w14:paraId="0DB96836" w14:textId="6218A20C" w:rsidR="008A269E" w:rsidRPr="008A269E" w:rsidRDefault="3F82F0DF" w:rsidP="3F82F0DF">
      <w:pPr>
        <w:spacing w:before="100" w:beforeAutospacing="1" w:after="100" w:afterAutospacing="1"/>
        <w:jc w:val="both"/>
        <w:rPr>
          <w:rFonts w:eastAsia="Times New Roman"/>
        </w:rPr>
      </w:pPr>
      <w:r w:rsidRPr="3F82F0DF">
        <w:rPr>
          <w:rFonts w:eastAsia="Times New Roman"/>
        </w:rPr>
        <w:t>This approach addresses two limitations of linear unit root tests. First, when persistence or volatility shifts over time, constant parameter models may misattribute these changes to non-stationarity. Second, linear tests impose a single global characterization of dynamics, even though adjustment behavior may differ across episodes. Allowing parameters to switch across regimes provides a more flexible representation of current account behavior over long samples.</w:t>
      </w:r>
    </w:p>
    <w:p w14:paraId="2513BE7A" w14:textId="56DCB719" w:rsidR="00CB6AC9" w:rsidRPr="00CB6AC9" w:rsidRDefault="58085007" w:rsidP="58085007">
      <w:pPr>
        <w:spacing w:before="100" w:beforeAutospacing="1" w:after="100" w:afterAutospacing="1"/>
        <w:jc w:val="both"/>
        <w:rPr>
          <w:rFonts w:eastAsia="Times New Roman"/>
        </w:rPr>
      </w:pPr>
      <w:r w:rsidRPr="58085007">
        <w:rPr>
          <w:rFonts w:eastAsia="Times New Roman"/>
        </w:rPr>
        <w:t xml:space="preserve">Formally, let denote the current account balance as a percentage of GDP. We estimate a Markov switching autoregressive model, in which the intercept, autoregressive coefficient, and error variance are allowed to </w:t>
      </w:r>
      <w:r w:rsidRPr="58085007">
        <w:rPr>
          <w:rFonts w:eastAsia="Times New Roman"/>
        </w:rPr>
        <w:lastRenderedPageBreak/>
        <w:t>vary across regimes. To ensure comparability across countries, we impose a common AR(1) structure for all series. Allowing country-specific lag orders would complicate cross-country aggregation and is therefore left for future work. As such our Markov switching model is given by</w:t>
      </w:r>
    </w:p>
    <w:p w14:paraId="7063107F" w14:textId="45CE8262" w:rsidR="001058BE" w:rsidRPr="0073265E" w:rsidRDefault="00000000" w:rsidP="0073265E">
      <w:pPr>
        <w:spacing w:before="100" w:beforeAutospacing="1" w:after="100" w:afterAutospacing="1"/>
        <w:jc w:val="both"/>
        <w:rPr>
          <w:rFonts w:eastAsia="Times New Roman"/>
        </w:rPr>
      </w:pPr>
      <m:oMathPara>
        <m:oMath>
          <m:m>
            <m:mPr>
              <m:plcHide m:val="1"/>
              <m:mcs>
                <m:mc>
                  <m:mcPr>
                    <m:count m:val="4"/>
                    <m:mcJc m:val="center"/>
                  </m:mcPr>
                </m:mc>
              </m:mcs>
              <m:ctrlPr>
                <w:rPr>
                  <w:rFonts w:ascii="Cambria Math" w:eastAsia="Times New Roman" w:hAnsi="Cambria Math"/>
                </w:rPr>
              </m:ctrlPr>
            </m:mPr>
            <m:mr>
              <m:e/>
              <m:e>
                <m:sSub>
                  <m:sSubPr>
                    <m:ctrlPr>
                      <w:rPr>
                        <w:rFonts w:ascii="Cambria Math" w:eastAsia="Times New Roman" w:hAnsi="Cambria Math"/>
                      </w:rPr>
                    </m:ctrlPr>
                  </m:sSubPr>
                  <m:e>
                    <m:r>
                      <w:rPr>
                        <w:rFonts w:ascii="Cambria Math" w:eastAsia="Times New Roman" w:hAnsi="Cambria Math"/>
                      </w:rPr>
                      <m:t>X</m:t>
                    </m:r>
                  </m:e>
                  <m:sub>
                    <m:r>
                      <w:rPr>
                        <w:rFonts w:ascii="Cambria Math" w:eastAsia="Times New Roman" w:hAnsi="Cambria Math"/>
                      </w:rPr>
                      <m:t>t</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α</m:t>
                    </m:r>
                  </m:e>
                  <m:sub>
                    <m:r>
                      <w:rPr>
                        <w:rFonts w:ascii="Cambria Math" w:eastAsia="Times New Roman" w:hAnsi="Cambria Math"/>
                      </w:rPr>
                      <m:t>0</m:t>
                    </m:r>
                  </m:sub>
                </m:sSub>
                <m:r>
                  <w:rPr>
                    <w:rFonts w:ascii="Cambria Math" w:eastAsia="Times New Roman" w:hAnsi="Cambria Math"/>
                  </w:rPr>
                  <m:t>+</m:t>
                </m:r>
                <m:d>
                  <m:dPr>
                    <m:ctrlPr>
                      <w:rPr>
                        <w:rFonts w:ascii="Cambria Math" w:eastAsia="Times New Roman" w:hAnsi="Cambria Math"/>
                        <w:i/>
                      </w:rPr>
                    </m:ctrlPr>
                  </m:dPr>
                  <m:e>
                    <m:sSub>
                      <m:sSubPr>
                        <m:ctrlPr>
                          <w:rPr>
                            <w:rFonts w:ascii="Cambria Math" w:eastAsia="Times New Roman" w:hAnsi="Cambria Math"/>
                          </w:rPr>
                        </m:ctrlPr>
                      </m:sSubPr>
                      <m:e>
                        <m:r>
                          <w:rPr>
                            <w:rFonts w:ascii="Cambria Math" w:eastAsia="Times New Roman" w:hAnsi="Cambria Math"/>
                          </w:rPr>
                          <m:t>α</m:t>
                        </m:r>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α</m:t>
                        </m:r>
                      </m:e>
                      <m:sub>
                        <m:r>
                          <w:rPr>
                            <w:rFonts w:ascii="Cambria Math" w:eastAsia="Times New Roman" w:hAnsi="Cambria Math"/>
                          </w:rPr>
                          <m:t>0</m:t>
                        </m:r>
                      </m:sub>
                    </m:sSub>
                  </m:e>
                </m:d>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1,t</m:t>
                    </m:r>
                  </m:sub>
                </m:sSub>
                <m:r>
                  <w:rPr>
                    <w:rFonts w:ascii="Cambria Math" w:eastAsia="Times New Roman" w:hAnsi="Cambria Math"/>
                  </w:rPr>
                  <m:t>+</m:t>
                </m:r>
                <m:nary>
                  <m:naryPr>
                    <m:chr m:val="∑"/>
                    <m:limLoc m:val="undOvr"/>
                    <m:grow m:val="1"/>
                    <m:ctrlPr>
                      <w:rPr>
                        <w:rFonts w:ascii="Cambria Math" w:eastAsia="Times New Roman" w:hAnsi="Cambria Math"/>
                      </w:rPr>
                    </m:ctrlPr>
                  </m:naryPr>
                  <m:sub>
                    <m:r>
                      <w:rPr>
                        <w:rFonts w:ascii="Cambria Math" w:eastAsia="Times New Roman" w:hAnsi="Cambria Math"/>
                      </w:rPr>
                      <m:t>k=1</m:t>
                    </m:r>
                  </m:sub>
                  <m:sup>
                    <m:r>
                      <w:rPr>
                        <w:rFonts w:ascii="Cambria Math" w:eastAsia="Times New Roman" w:hAnsi="Cambria Math"/>
                      </w:rPr>
                      <m:t>B</m:t>
                    </m:r>
                  </m:sup>
                  <m:e>
                    <m:d>
                      <m:dPr>
                        <m:begChr m:val="["/>
                        <m:endChr m:val="]"/>
                        <m:ctrlPr>
                          <w:rPr>
                            <w:rFonts w:ascii="Cambria Math" w:eastAsia="Times New Roman" w:hAnsi="Cambria Math"/>
                            <w:i/>
                          </w:rPr>
                        </m:ctrlPr>
                      </m:dPr>
                      <m:e>
                        <m:sSub>
                          <m:sSubPr>
                            <m:ctrlPr>
                              <w:rPr>
                                <w:rFonts w:ascii="Cambria Math" w:eastAsia="Times New Roman" w:hAnsi="Cambria Math"/>
                              </w:rPr>
                            </m:ctrlPr>
                          </m:sSubPr>
                          <m:e>
                            <m:r>
                              <w:rPr>
                                <w:rFonts w:ascii="Cambria Math" w:eastAsia="Times New Roman" w:hAnsi="Cambria Math"/>
                              </w:rPr>
                              <m:t>ψ</m:t>
                            </m:r>
                          </m:e>
                          <m:sub>
                            <m:r>
                              <w:rPr>
                                <w:rFonts w:ascii="Cambria Math" w:eastAsia="Times New Roman" w:hAnsi="Cambria Math"/>
                              </w:rPr>
                              <m:t>0,k</m:t>
                            </m:r>
                          </m:sub>
                        </m:sSub>
                        <m:r>
                          <w:rPr>
                            <w:rFonts w:ascii="Cambria Math" w:eastAsia="Times New Roman" w:hAnsi="Cambria Math"/>
                          </w:rPr>
                          <m:t>+</m:t>
                        </m:r>
                        <m:d>
                          <m:dPr>
                            <m:ctrlPr>
                              <w:rPr>
                                <w:rFonts w:ascii="Cambria Math" w:eastAsia="Times New Roman" w:hAnsi="Cambria Math"/>
                                <w:i/>
                              </w:rPr>
                            </m:ctrlPr>
                          </m:dPr>
                          <m:e>
                            <m:sSub>
                              <m:sSubPr>
                                <m:ctrlPr>
                                  <w:rPr>
                                    <w:rFonts w:ascii="Cambria Math" w:eastAsia="Times New Roman" w:hAnsi="Cambria Math"/>
                                  </w:rPr>
                                </m:ctrlPr>
                              </m:sSubPr>
                              <m:e>
                                <m:r>
                                  <w:rPr>
                                    <w:rFonts w:ascii="Cambria Math" w:eastAsia="Times New Roman" w:hAnsi="Cambria Math"/>
                                  </w:rPr>
                                  <m:t>ψ</m:t>
                                </m:r>
                              </m:e>
                              <m:sub>
                                <m:r>
                                  <w:rPr>
                                    <w:rFonts w:ascii="Cambria Math" w:eastAsia="Times New Roman" w:hAnsi="Cambria Math"/>
                                  </w:rPr>
                                  <m:t>1,k</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ψ</m:t>
                                </m:r>
                              </m:e>
                              <m:sub>
                                <m:r>
                                  <w:rPr>
                                    <w:rFonts w:ascii="Cambria Math" w:eastAsia="Times New Roman" w:hAnsi="Cambria Math"/>
                                  </w:rPr>
                                  <m:t>0,k</m:t>
                                </m:r>
                              </m:sub>
                            </m:sSub>
                          </m:e>
                        </m:d>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3,t</m:t>
                            </m:r>
                          </m:sub>
                        </m:sSub>
                      </m:e>
                    </m:d>
                  </m:e>
                </m:nary>
                <m:r>
                  <m:rPr>
                    <m:sty m:val="p"/>
                  </m:rPr>
                  <w:rPr>
                    <w:rFonts w:ascii="Cambria Math" w:eastAsia="Times New Roman" w:hAnsi="Cambria Math"/>
                  </w:rPr>
                  <m:t>Δ</m:t>
                </m:r>
                <m:sSub>
                  <m:sSubPr>
                    <m:ctrlPr>
                      <w:rPr>
                        <w:rFonts w:ascii="Cambria Math" w:eastAsia="Times New Roman" w:hAnsi="Cambria Math"/>
                      </w:rPr>
                    </m:ctrlPr>
                  </m:sSubPr>
                  <m:e>
                    <m:r>
                      <w:rPr>
                        <w:rFonts w:ascii="Cambria Math" w:eastAsia="Times New Roman" w:hAnsi="Cambria Math"/>
                      </w:rPr>
                      <m:t>X</m:t>
                    </m:r>
                  </m:e>
                  <m:sub>
                    <m:r>
                      <w:rPr>
                        <w:rFonts w:ascii="Cambria Math" w:eastAsia="Times New Roman" w:hAnsi="Cambria Math"/>
                      </w:rPr>
                      <m:t>t-k</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ω</m:t>
                    </m:r>
                  </m:e>
                  <m:sub>
                    <m:r>
                      <w:rPr>
                        <w:rFonts w:ascii="Cambria Math" w:eastAsia="Times New Roman" w:hAnsi="Cambria Math"/>
                      </w:rPr>
                      <m:t>0</m:t>
                    </m:r>
                  </m:sub>
                </m:sSub>
                <m:r>
                  <w:rPr>
                    <w:rFonts w:ascii="Cambria Math" w:eastAsia="Times New Roman" w:hAnsi="Cambria Math"/>
                  </w:rPr>
                  <m:t>+</m:t>
                </m:r>
                <m:d>
                  <m:dPr>
                    <m:ctrlPr>
                      <w:rPr>
                        <w:rFonts w:ascii="Cambria Math" w:eastAsia="Times New Roman" w:hAnsi="Cambria Math"/>
                        <w:i/>
                      </w:rPr>
                    </m:ctrlPr>
                  </m:dPr>
                  <m:e>
                    <m:sSub>
                      <m:sSubPr>
                        <m:ctrlPr>
                          <w:rPr>
                            <w:rFonts w:ascii="Cambria Math" w:eastAsia="Times New Roman" w:hAnsi="Cambria Math"/>
                          </w:rPr>
                        </m:ctrlPr>
                      </m:sSubPr>
                      <m:e>
                        <m:r>
                          <w:rPr>
                            <w:rFonts w:ascii="Cambria Math" w:eastAsia="Times New Roman" w:hAnsi="Cambria Math"/>
                          </w:rPr>
                          <m:t>ω</m:t>
                        </m:r>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ω</m:t>
                        </m:r>
                      </m:e>
                      <m:sub>
                        <m:r>
                          <w:rPr>
                            <w:rFonts w:ascii="Cambria Math" w:eastAsia="Times New Roman" w:hAnsi="Cambria Math"/>
                          </w:rPr>
                          <m:t>0</m:t>
                        </m:r>
                      </m:sub>
                    </m:sSub>
                  </m:e>
                </m:d>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2,t</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u</m:t>
                    </m:r>
                  </m:e>
                  <m:sub>
                    <m:r>
                      <w:rPr>
                        <w:rFonts w:ascii="Cambria Math" w:eastAsia="Times New Roman" w:hAnsi="Cambria Math"/>
                      </w:rPr>
                      <m:t>t</m:t>
                    </m:r>
                  </m:sub>
                </m:sSub>
                <m:r>
                  <w:rPr>
                    <w:rFonts w:ascii="Cambria Math" w:eastAsia="Times New Roman" w:hAnsi="Cambria Math"/>
                  </w:rPr>
                  <m:t>,</m:t>
                </m:r>
              </m:e>
              <m:e/>
              <m:e>
                <m:r>
                  <m:rPr>
                    <m:nor/>
                  </m:rPr>
                  <w:rPr>
                    <w:rFonts w:eastAsia="Times New Roman"/>
                  </w:rPr>
                  <m:t>(10)</m:t>
                </m:r>
              </m:e>
            </m:mr>
          </m:m>
          <m:r>
            <m:rPr>
              <m:sty m:val="p"/>
            </m:rPr>
            <w:rPr>
              <w:rFonts w:eastAsia="Times New Roman"/>
            </w:rPr>
            <w:br/>
          </m:r>
        </m:oMath>
      </m:oMathPara>
    </w:p>
    <w:p w14:paraId="237CBA38" w14:textId="7A9CAB36" w:rsidR="001058BE" w:rsidRPr="0073265E" w:rsidRDefault="001058BE" w:rsidP="0073265E">
      <w:pPr>
        <w:spacing w:before="100" w:beforeAutospacing="1" w:after="100" w:afterAutospacing="1"/>
        <w:jc w:val="both"/>
        <w:rPr>
          <w:rFonts w:eastAsia="Times New Roman"/>
        </w:rPr>
      </w:pPr>
      <w:r w:rsidRPr="0073265E">
        <w:rPr>
          <w:rFonts w:eastAsia="Times New Roman"/>
        </w:rPr>
        <w:t xml:space="preserve">where </w:t>
      </w:r>
      <m:oMath>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1,t</m:t>
            </m:r>
          </m:sub>
        </m:sSub>
        <m:r>
          <w:rPr>
            <w:rFonts w:ascii="Cambria Math" w:eastAsia="Times New Roman" w:hAnsi="Cambria Math"/>
          </w:rPr>
          <m:t>}</m:t>
        </m:r>
      </m:oMath>
      <w:r w:rsidRPr="0073265E">
        <w:rPr>
          <w:rFonts w:eastAsia="Times New Roman"/>
        </w:rPr>
        <w:t xml:space="preserve">, </w:t>
      </w:r>
      <m:oMath>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2,t</m:t>
            </m:r>
          </m:sub>
        </m:sSub>
        <m:r>
          <w:rPr>
            <w:rFonts w:ascii="Cambria Math" w:eastAsia="Times New Roman" w:hAnsi="Cambria Math"/>
          </w:rPr>
          <m:t>}</m:t>
        </m:r>
      </m:oMath>
      <w:r w:rsidRPr="0073265E">
        <w:rPr>
          <w:rFonts w:eastAsia="Times New Roman"/>
        </w:rPr>
        <w:t xml:space="preserve">, and </w:t>
      </w:r>
      <m:oMath>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3,t</m:t>
            </m:r>
          </m:sub>
        </m:sSub>
        <m:r>
          <w:rPr>
            <w:rFonts w:ascii="Cambria Math" w:eastAsia="Times New Roman" w:hAnsi="Cambria Math"/>
          </w:rPr>
          <m:t>}</m:t>
        </m:r>
      </m:oMath>
      <w:r w:rsidR="00935EAC">
        <w:rPr>
          <w:rFonts w:eastAsia="Times New Roman"/>
        </w:rPr>
        <w:t xml:space="preserve"> </w:t>
      </w:r>
      <w:r w:rsidRPr="0073265E">
        <w:rPr>
          <w:rFonts w:eastAsia="Times New Roman"/>
        </w:rPr>
        <w:t xml:space="preserve">are unobserved regime indicators that take values in {0,1} and are independent of the error term </w:t>
      </w:r>
      <m:oMath>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u</m:t>
            </m:r>
          </m:e>
          <m:sub>
            <m:r>
              <w:rPr>
                <w:rFonts w:ascii="Cambria Math" w:eastAsia="Times New Roman" w:hAnsi="Cambria Math"/>
              </w:rPr>
              <m:t>t</m:t>
            </m:r>
          </m:sub>
        </m:sSub>
        <m:r>
          <w:rPr>
            <w:rFonts w:ascii="Cambria Math" w:eastAsia="Times New Roman" w:hAnsi="Cambria Math"/>
          </w:rPr>
          <m:t>}</m:t>
        </m:r>
      </m:oMath>
      <w:r w:rsidRPr="0073265E">
        <w:rPr>
          <w:rFonts w:eastAsia="Times New Roman"/>
        </w:rPr>
        <w:t xml:space="preserve">. The parameters </w:t>
      </w:r>
      <m:oMath>
        <m:sSub>
          <m:sSubPr>
            <m:ctrlPr>
              <w:rPr>
                <w:rFonts w:ascii="Cambria Math" w:eastAsia="Times New Roman" w:hAnsi="Cambria Math"/>
              </w:rPr>
            </m:ctrlPr>
          </m:sSubPr>
          <m:e>
            <m:r>
              <w:rPr>
                <w:rFonts w:ascii="Cambria Math" w:eastAsia="Times New Roman" w:hAnsi="Cambria Math"/>
              </w:rPr>
              <m:t>α</m:t>
            </m:r>
          </m:e>
          <m:sub>
            <m:r>
              <w:rPr>
                <w:rFonts w:ascii="Cambria Math" w:eastAsia="Times New Roman" w:hAnsi="Cambria Math"/>
              </w:rPr>
              <m:t>0</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α</m:t>
            </m:r>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ϕ</m:t>
            </m:r>
          </m:e>
          <m:sub>
            <m:r>
              <w:rPr>
                <w:rFonts w:ascii="Cambria Math" w:eastAsia="Times New Roman" w:hAnsi="Cambria Math"/>
              </w:rPr>
              <m:t>0</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ϕ</m:t>
            </m:r>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ψ</m:t>
            </m:r>
          </m:e>
          <m:sub>
            <m:r>
              <w:rPr>
                <w:rFonts w:ascii="Cambria Math" w:eastAsia="Times New Roman" w:hAnsi="Cambria Math"/>
              </w:rPr>
              <m:t>0,k</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ψ</m:t>
            </m:r>
          </m:e>
          <m:sub>
            <m:r>
              <w:rPr>
                <w:rFonts w:ascii="Cambria Math" w:eastAsia="Times New Roman" w:hAnsi="Cambria Math"/>
              </w:rPr>
              <m:t>1,k</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ω</m:t>
            </m:r>
          </m:e>
          <m:sub>
            <m:r>
              <w:rPr>
                <w:rFonts w:ascii="Cambria Math" w:eastAsia="Times New Roman" w:hAnsi="Cambria Math"/>
              </w:rPr>
              <m:t>0</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ω</m:t>
            </m:r>
          </m:e>
          <m:sub>
            <m:r>
              <w:rPr>
                <w:rFonts w:ascii="Cambria Math" w:eastAsia="Times New Roman" w:hAnsi="Cambria Math"/>
              </w:rPr>
              <m:t>1</m:t>
            </m:r>
          </m:sub>
        </m:sSub>
      </m:oMath>
      <w:r w:rsidRPr="0073265E">
        <w:rPr>
          <w:rFonts w:eastAsia="Times New Roman"/>
        </w:rPr>
        <w:t>and the six transition probabilities are jointly estimated by maximum likelihood.</w:t>
      </w:r>
    </w:p>
    <w:p w14:paraId="0300C758" w14:textId="305B9FAF" w:rsidR="001058BE" w:rsidRDefault="001058BE" w:rsidP="0073265E">
      <w:pPr>
        <w:spacing w:before="100" w:beforeAutospacing="1" w:after="100" w:afterAutospacing="1"/>
        <w:jc w:val="both"/>
        <w:rPr>
          <w:rFonts w:eastAsia="Times New Roman"/>
        </w:rPr>
      </w:pPr>
      <w:r w:rsidRPr="0073265E">
        <w:rPr>
          <w:rFonts w:eastAsia="Times New Roman"/>
        </w:rPr>
        <w:t xml:space="preserve">As emphasized by Morita et al. (2024), two features of this specification are crucial for robust unit-root inference. </w:t>
      </w:r>
      <w:r w:rsidR="008B2EFD">
        <w:rPr>
          <w:rFonts w:eastAsia="Times New Roman"/>
        </w:rPr>
        <w:t>Allowing</w:t>
      </w:r>
      <w:r w:rsidRPr="0073265E">
        <w:rPr>
          <w:rFonts w:eastAsia="Times New Roman"/>
        </w:rPr>
        <w:t xml:space="preserve"> the mean, variance, and persistence to switch </w:t>
      </w:r>
      <w:r w:rsidR="008B2EFD">
        <w:rPr>
          <w:rFonts w:eastAsia="Times New Roman"/>
        </w:rPr>
        <w:t xml:space="preserve">independently over time </w:t>
      </w:r>
      <w:r w:rsidRPr="0073265E">
        <w:rPr>
          <w:rFonts w:eastAsia="Times New Roman"/>
        </w:rPr>
        <w:t xml:space="preserve">improves reliability </w:t>
      </w:r>
      <w:r w:rsidR="008B2EFD">
        <w:rPr>
          <w:rFonts w:eastAsia="Times New Roman"/>
        </w:rPr>
        <w:t xml:space="preserve">and helps prevent </w:t>
      </w:r>
      <w:r w:rsidRPr="0073265E">
        <w:rPr>
          <w:rFonts w:eastAsia="Times New Roman"/>
        </w:rPr>
        <w:t xml:space="preserve">changes in mean or volatility </w:t>
      </w:r>
      <w:r w:rsidR="008B2EFD">
        <w:rPr>
          <w:rFonts w:eastAsia="Times New Roman"/>
        </w:rPr>
        <w:t xml:space="preserve">being </w:t>
      </w:r>
      <w:r w:rsidRPr="0073265E">
        <w:rPr>
          <w:rFonts w:eastAsia="Times New Roman"/>
        </w:rPr>
        <w:t>absorbed into persistence estimates</w:t>
      </w:r>
      <w:r w:rsidR="008B2EFD">
        <w:rPr>
          <w:rFonts w:eastAsia="Times New Roman"/>
        </w:rPr>
        <w:t>.</w:t>
      </w:r>
      <w:r w:rsidRPr="0073265E">
        <w:rPr>
          <w:rFonts w:eastAsia="Times New Roman"/>
        </w:rPr>
        <w:t xml:space="preserve"> </w:t>
      </w:r>
      <w:r w:rsidR="008B2EFD">
        <w:rPr>
          <w:rFonts w:eastAsia="Times New Roman"/>
        </w:rPr>
        <w:t xml:space="preserve">This is turn protects </w:t>
      </w:r>
      <w:r w:rsidR="005B2745">
        <w:rPr>
          <w:rFonts w:eastAsia="Times New Roman"/>
        </w:rPr>
        <w:t>against</w:t>
      </w:r>
      <w:r w:rsidR="008B2EFD">
        <w:rPr>
          <w:rFonts w:eastAsia="Times New Roman"/>
        </w:rPr>
        <w:t xml:space="preserve"> </w:t>
      </w:r>
      <w:r w:rsidRPr="0073265E">
        <w:rPr>
          <w:rFonts w:eastAsia="Times New Roman"/>
        </w:rPr>
        <w:t>spurious unit-root results (Shi 201</w:t>
      </w:r>
      <w:r w:rsidR="003D4B23">
        <w:rPr>
          <w:rFonts w:eastAsia="Times New Roman"/>
        </w:rPr>
        <w:t>3</w:t>
      </w:r>
      <w:r w:rsidRPr="0073265E">
        <w:rPr>
          <w:rFonts w:eastAsia="Times New Roman"/>
        </w:rPr>
        <w:t xml:space="preserve">; Harvey et al. 2016; </w:t>
      </w:r>
      <w:r w:rsidR="0073596E" w:rsidRPr="0073596E">
        <w:rPr>
          <w:rFonts w:eastAsia="Times New Roman"/>
        </w:rPr>
        <w:t>Monschang</w:t>
      </w:r>
      <w:r w:rsidRPr="0073265E">
        <w:rPr>
          <w:rFonts w:eastAsia="Times New Roman"/>
        </w:rPr>
        <w:t xml:space="preserve"> and Wilfling 2021; Morita et al. 2024). Second, the regime shifts in mean, variance, and persistence are driven by independent Markov chains. This independence allows us to distinguish shifts in persistence from changes in mean or volatility. For instance, an explosive-persistence regime may occur regardless of whether volatility is high or low.</w:t>
      </w:r>
    </w:p>
    <w:p w14:paraId="3FF25ECD" w14:textId="364DDDA0" w:rsidR="00CB6AC9" w:rsidRPr="0073265E" w:rsidRDefault="00CB6AC9" w:rsidP="0073265E">
      <w:pPr>
        <w:spacing w:before="100" w:beforeAutospacing="1" w:after="100" w:afterAutospacing="1"/>
        <w:jc w:val="both"/>
        <w:rPr>
          <w:rFonts w:eastAsia="Times New Roman"/>
        </w:rPr>
      </w:pPr>
      <w:r w:rsidRPr="0073265E">
        <w:rPr>
          <w:rFonts w:eastAsia="Times New Roman"/>
        </w:rPr>
        <w:t>For the second stage, quarterly regime classifications are aggregated to the annual level by taking the most frequent regime within each country-year. This aggregation matches the annual frequency of the structural covariates and produces a single interpretable outcome per observation. Within-year transitions are collapsed to the modal state, discarding potentially informative intra-year dynamics; more granular temporal aggregation approaches are left for future work.</w:t>
      </w:r>
    </w:p>
    <w:p w14:paraId="4FEC3C02" w14:textId="74796C8F" w:rsidR="001058BE" w:rsidRPr="0073265E" w:rsidRDefault="00FD4624" w:rsidP="0073265E">
      <w:pPr>
        <w:rPr>
          <w:rFonts w:eastAsia="Times New Roman"/>
          <w:b/>
          <w:bCs/>
        </w:rPr>
      </w:pPr>
      <w:r w:rsidRPr="00935EAC">
        <w:rPr>
          <w:rFonts w:eastAsia="Times New Roman"/>
          <w:b/>
          <w:bCs/>
        </w:rPr>
        <w:t>3.3. Regime identification</w:t>
      </w:r>
    </w:p>
    <w:p w14:paraId="34C6E5AE" w14:textId="15B11677" w:rsidR="001058BE" w:rsidRPr="0073265E" w:rsidRDefault="001058BE" w:rsidP="0073265E">
      <w:pPr>
        <w:spacing w:before="100" w:beforeAutospacing="1" w:after="100" w:afterAutospacing="1"/>
        <w:jc w:val="both"/>
        <w:rPr>
          <w:rFonts w:eastAsia="Times New Roman"/>
        </w:rPr>
      </w:pPr>
      <w:r w:rsidRPr="0073265E">
        <w:rPr>
          <w:rFonts w:eastAsia="Times New Roman"/>
        </w:rPr>
        <w:t xml:space="preserve">The regime indicators </w:t>
      </w:r>
      <m:oMath>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1,t</m:t>
            </m:r>
          </m:sub>
        </m:sSub>
        <m:r>
          <w:rPr>
            <w:rFonts w:ascii="Cambria Math" w:eastAsia="Times New Roman" w:hAnsi="Cambria Math"/>
          </w:rPr>
          <m:t>}</m:t>
        </m:r>
      </m:oMath>
      <w:r w:rsidRPr="0073265E">
        <w:rPr>
          <w:rFonts w:eastAsia="Times New Roman"/>
        </w:rPr>
        <w:t xml:space="preserve">, </w:t>
      </w:r>
      <m:oMath>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2,t</m:t>
            </m:r>
          </m:sub>
        </m:sSub>
        <m:r>
          <w:rPr>
            <w:rFonts w:ascii="Cambria Math" w:eastAsia="Times New Roman" w:hAnsi="Cambria Math"/>
          </w:rPr>
          <m:t>}</m:t>
        </m:r>
      </m:oMath>
      <w:r w:rsidRPr="0073265E">
        <w:rPr>
          <w:rFonts w:eastAsia="Times New Roman"/>
        </w:rPr>
        <w:t xml:space="preserve">, and </w:t>
      </w:r>
      <m:oMath>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3,t</m:t>
            </m:r>
          </m:sub>
        </m:sSub>
        <m:r>
          <w:rPr>
            <w:rFonts w:ascii="Cambria Math" w:eastAsia="Times New Roman" w:hAnsi="Cambria Math"/>
          </w:rPr>
          <m:t>}</m:t>
        </m:r>
      </m:oMath>
      <w:r w:rsidR="00935EAC">
        <w:rPr>
          <w:rFonts w:eastAsia="Times New Roman"/>
        </w:rPr>
        <w:t xml:space="preserve"> </w:t>
      </w:r>
      <w:r w:rsidRPr="0073265E">
        <w:rPr>
          <w:rFonts w:eastAsia="Times New Roman"/>
        </w:rPr>
        <w:t>are assumed to follow temporally homogeneous Markov chains with transition probabilities</w:t>
      </w:r>
    </w:p>
    <w:p w14:paraId="4D662398" w14:textId="7C9AA410" w:rsidR="001058BE" w:rsidRPr="0073265E" w:rsidRDefault="00000000" w:rsidP="0073265E">
      <w:pPr>
        <w:spacing w:before="100" w:beforeAutospacing="1" w:after="100" w:afterAutospacing="1"/>
        <w:jc w:val="both"/>
        <w:rPr>
          <w:rFonts w:eastAsia="Times New Roman"/>
        </w:rPr>
      </w:pPr>
      <m:oMathPara>
        <m:oMath>
          <m:sSubSup>
            <m:sSubSupPr>
              <m:ctrlPr>
                <w:rPr>
                  <w:rFonts w:ascii="Cambria Math" w:eastAsia="Times New Roman" w:hAnsi="Cambria Math"/>
                </w:rPr>
              </m:ctrlPr>
            </m:sSubSupPr>
            <m:e>
              <m:r>
                <w:rPr>
                  <w:rFonts w:ascii="Cambria Math" w:eastAsia="Times New Roman" w:hAnsi="Cambria Math"/>
                </w:rPr>
                <m:t>P</m:t>
              </m:r>
            </m:e>
            <m:sub>
              <m:r>
                <w:rPr>
                  <w:rFonts w:ascii="Cambria Math" w:eastAsia="Times New Roman" w:hAnsi="Cambria Math"/>
                </w:rPr>
                <m:t>ij</m:t>
              </m:r>
            </m:sub>
            <m:sup>
              <m:d>
                <m:dPr>
                  <m:ctrlPr>
                    <w:rPr>
                      <w:rFonts w:ascii="Cambria Math" w:eastAsia="Times New Roman" w:hAnsi="Cambria Math"/>
                      <w:i/>
                    </w:rPr>
                  </m:ctrlPr>
                </m:dPr>
                <m:e>
                  <m:r>
                    <w:rPr>
                      <w:rFonts w:ascii="Cambria Math" w:eastAsia="Times New Roman" w:hAnsi="Cambria Math"/>
                    </w:rPr>
                    <m:t>r</m:t>
                  </m:r>
                </m:e>
              </m:d>
            </m:sup>
          </m:sSubSup>
          <m:r>
            <w:rPr>
              <w:rFonts w:ascii="Cambria Math" w:eastAsia="Times New Roman" w:hAnsi="Cambria Math"/>
            </w:rPr>
            <m:t>=</m:t>
          </m:r>
          <m:r>
            <m:rPr>
              <m:sty m:val="p"/>
            </m:rPr>
            <w:rPr>
              <w:rFonts w:ascii="Cambria Math" w:eastAsia="Times New Roman" w:hAnsi="Cambria Math"/>
            </w:rPr>
            <m:t>P</m:t>
          </m:r>
          <m:func>
            <m:funcPr>
              <m:ctrlPr>
                <w:rPr>
                  <w:rFonts w:ascii="Cambria Math" w:eastAsia="Times New Roman" w:hAnsi="Cambria Math"/>
                  <w:i/>
                </w:rPr>
              </m:ctrlPr>
            </m:funcPr>
            <m:fName>
              <m:r>
                <m:rPr>
                  <m:sty m:val="p"/>
                </m:rPr>
                <w:rPr>
                  <w:rFonts w:ascii="Cambria Math" w:eastAsia="Times New Roman" w:hAnsi="Cambria Math"/>
                </w:rPr>
                <m:t>r</m:t>
              </m:r>
              <m:ctrlPr>
                <w:rPr>
                  <w:rFonts w:ascii="Cambria Math" w:eastAsia="Times New Roman" w:hAnsi="Cambria Math"/>
                </w:rPr>
              </m:ctrlPr>
            </m:fName>
            <m:e>
              <m:d>
                <m:dPr>
                  <m:sepChr m:val="∣"/>
                  <m:ctrlPr>
                    <w:rPr>
                      <w:rFonts w:ascii="Cambria Math" w:eastAsia="Times New Roman" w:hAnsi="Cambria Math"/>
                      <w:i/>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r,t+1</m:t>
                      </m:r>
                    </m:sub>
                  </m:sSub>
                  <m:r>
                    <w:rPr>
                      <w:rFonts w:ascii="Cambria Math" w:eastAsia="Times New Roman" w:hAnsi="Cambria Math"/>
                    </w:rPr>
                    <m:t>=j</m:t>
                  </m:r>
                </m:e>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r,t</m:t>
                      </m:r>
                    </m:sub>
                  </m:sSub>
                  <m:r>
                    <w:rPr>
                      <w:rFonts w:ascii="Cambria Math" w:eastAsia="Times New Roman" w:hAnsi="Cambria Math"/>
                    </w:rPr>
                    <m:t>=i</m:t>
                  </m:r>
                </m:e>
              </m:d>
            </m:e>
          </m:func>
          <m:r>
            <w:rPr>
              <w:rFonts w:ascii="Cambria Math" w:eastAsia="Times New Roman" w:hAnsi="Cambria Math"/>
            </w:rPr>
            <m:t>,i,j∈0,1,</m:t>
          </m:r>
          <m:r>
            <m:rPr>
              <m:nor/>
            </m:rPr>
            <w:rPr>
              <w:rFonts w:eastAsia="Times New Roman"/>
            </w:rPr>
            <m:t xml:space="preserve"> </m:t>
          </m:r>
          <m:r>
            <w:rPr>
              <w:rFonts w:ascii="Cambria Math" w:eastAsia="Times New Roman" w:hAnsi="Cambria Math"/>
            </w:rPr>
            <m:t xml:space="preserve">  r=1,2,3</m:t>
          </m:r>
        </m:oMath>
      </m:oMathPara>
    </w:p>
    <w:p w14:paraId="627060D3" w14:textId="52FB472D" w:rsidR="001058BE" w:rsidRPr="0073265E" w:rsidRDefault="001058BE" w:rsidP="58085007">
      <w:pPr>
        <w:spacing w:before="100" w:beforeAutospacing="1" w:after="100" w:afterAutospacing="1"/>
        <w:jc w:val="both"/>
        <w:rPr>
          <w:rFonts w:eastAsia="Times New Roman"/>
        </w:rPr>
      </w:pPr>
      <w:r w:rsidRPr="0073265E">
        <w:rPr>
          <w:rFonts w:eastAsia="Times New Roman"/>
        </w:rPr>
        <w:t xml:space="preserve">Changes in persistence are governed solely by the chain </w:t>
      </w:r>
      <m:oMath>
        <m:d>
          <m:dPr>
            <m:begChr m:val="{"/>
            <m:endChr m:val="}"/>
            <m:ctrlPr>
              <w:rPr>
                <w:rFonts w:ascii="Cambria Math" w:eastAsia="Times New Roman" w:hAnsi="Cambria Math"/>
                <w:i/>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3,t</m:t>
                </m:r>
              </m:sub>
            </m:sSub>
          </m:e>
        </m:d>
      </m:oMath>
      <w:r w:rsidRPr="0073265E">
        <w:rPr>
          <w:rFonts w:eastAsia="Times New Roman"/>
        </w:rPr>
        <w:t xml:space="preserve">are assigned to regime 1 whenever </w:t>
      </w:r>
      <m:oMath>
        <m:r>
          <m:rPr>
            <m:sty m:val="p"/>
          </m:rPr>
          <w:rPr>
            <w:rFonts w:ascii="Cambria Math" w:eastAsia="Times New Roman" w:hAnsi="Cambria Math"/>
          </w:rPr>
          <m:t>Pr</m:t>
        </m:r>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3,t</m:t>
            </m:r>
          </m:sub>
        </m:sSub>
        <m:r>
          <w:rPr>
            <w:rFonts w:ascii="Cambria Math" w:eastAsia="Times New Roman" w:hAnsi="Cambria Math"/>
          </w:rPr>
          <m:t>=1∣</m:t>
        </m:r>
        <m:sSub>
          <m:sSubPr>
            <m:ctrlPr>
              <w:rPr>
                <w:rFonts w:ascii="Cambria Math" w:eastAsia="Times New Roman" w:hAnsi="Cambria Math"/>
              </w:rPr>
            </m:ctrlPr>
          </m:sSubPr>
          <m:e>
            <m:r>
              <w:rPr>
                <w:rFonts w:ascii="Cambria Math" w:eastAsia="Times New Roman" w:hAnsi="Cambria Math"/>
              </w:rPr>
              <m:t>I</m:t>
            </m:r>
          </m:e>
          <m:sub>
            <m:r>
              <w:rPr>
                <w:rFonts w:ascii="Cambria Math" w:eastAsia="Times New Roman" w:hAnsi="Cambria Math"/>
              </w:rPr>
              <m:t>t</m:t>
            </m:r>
          </m:sub>
        </m:sSub>
        <m:r>
          <w:rPr>
            <w:rFonts w:ascii="Cambria Math" w:eastAsia="Times New Roman" w:hAnsi="Cambria Math"/>
          </w:rPr>
          <m:t>,</m:t>
        </m:r>
        <m:acc>
          <m:accPr>
            <m:ctrlPr>
              <w:rPr>
                <w:rFonts w:ascii="Cambria Math" w:eastAsia="Times New Roman" w:hAnsi="Cambria Math"/>
              </w:rPr>
            </m:ctrlPr>
          </m:accPr>
          <m:e>
            <m:r>
              <m:rPr>
                <m:sty m:val="p"/>
              </m:rPr>
              <w:rPr>
                <w:rFonts w:ascii="Cambria Math" w:eastAsia="Times New Roman" w:hAnsi="Cambria Math"/>
              </w:rPr>
              <m:t>Θ</m:t>
            </m:r>
          </m:e>
        </m:acc>
        <m:r>
          <w:rPr>
            <w:rFonts w:ascii="Cambria Math" w:eastAsia="Times New Roman" w:hAnsi="Cambria Math"/>
          </w:rPr>
          <m:t>)&gt;0.5</m:t>
        </m:r>
      </m:oMath>
      <w:r w:rsidRPr="0073265E">
        <w:rPr>
          <w:rFonts w:eastAsia="Times New Roman"/>
        </w:rPr>
        <w:t>, and to regime 0 otherwise. In practice, these probabilities are generally far from 0.5, making regime classification highly stable.</w:t>
      </w:r>
    </w:p>
    <w:p w14:paraId="0C3F59FE" w14:textId="3A2C573F" w:rsidR="001058BE" w:rsidRPr="0073265E" w:rsidRDefault="001058BE" w:rsidP="0073265E">
      <w:pPr>
        <w:spacing w:before="100" w:beforeAutospacing="1" w:after="100" w:afterAutospacing="1"/>
        <w:jc w:val="both"/>
        <w:rPr>
          <w:rFonts w:eastAsia="Times New Roman"/>
        </w:rPr>
      </w:pPr>
      <w:r w:rsidRPr="0073265E">
        <w:rPr>
          <w:rFonts w:eastAsia="Times New Roman"/>
        </w:rPr>
        <w:t xml:space="preserve">Each regime is then classified as stationary, unit-root, or explosive based on the estimated persistence parameters. Regime </w:t>
      </w:r>
      <m:oMath>
        <m:r>
          <w:rPr>
            <w:rFonts w:ascii="Cambria Math" w:eastAsia="Times New Roman" w:hAnsi="Cambria Math"/>
          </w:rPr>
          <m:t xml:space="preserve">r </m:t>
        </m:r>
      </m:oMath>
      <w:r w:rsidRPr="0073265E">
        <w:rPr>
          <w:rFonts w:eastAsia="Times New Roman"/>
        </w:rPr>
        <w:t xml:space="preserve">is stationary when </w:t>
      </w:r>
      <m:oMath>
        <m:sSub>
          <m:sSubPr>
            <m:ctrlPr>
              <w:rPr>
                <w:rFonts w:ascii="Cambria Math" w:eastAsia="Times New Roman" w:hAnsi="Cambria Math"/>
              </w:rPr>
            </m:ctrlPr>
          </m:sSubPr>
          <m:e>
            <m:r>
              <w:rPr>
                <w:rFonts w:ascii="Cambria Math" w:eastAsia="Times New Roman" w:hAnsi="Cambria Math"/>
              </w:rPr>
              <m:t>ϕ</m:t>
            </m:r>
          </m:e>
          <m:sub>
            <m:r>
              <w:rPr>
                <w:rFonts w:ascii="Cambria Math" w:eastAsia="Times New Roman" w:hAnsi="Cambria Math"/>
              </w:rPr>
              <m:t>0</m:t>
            </m:r>
          </m:sub>
        </m:sSub>
        <m:r>
          <w:rPr>
            <w:rFonts w:ascii="Cambria Math" w:eastAsia="Times New Roman" w:hAnsi="Cambria Math"/>
          </w:rPr>
          <m:t xml:space="preserve">&lt;0 </m:t>
        </m:r>
      </m:oMath>
      <w:r w:rsidRPr="0073265E">
        <w:rPr>
          <w:rFonts w:eastAsia="Times New Roman"/>
        </w:rPr>
        <w:t xml:space="preserve">and </w:t>
      </w:r>
      <m:oMath>
        <m:sSub>
          <m:sSubPr>
            <m:ctrlPr>
              <w:rPr>
                <w:rFonts w:ascii="Cambria Math" w:eastAsia="Times New Roman" w:hAnsi="Cambria Math"/>
              </w:rPr>
            </m:ctrlPr>
          </m:sSubPr>
          <m:e>
            <m:r>
              <w:rPr>
                <w:rFonts w:ascii="Cambria Math" w:eastAsia="Times New Roman" w:hAnsi="Cambria Math"/>
              </w:rPr>
              <m:t>ϕ</m:t>
            </m:r>
          </m:e>
          <m:sub>
            <m:r>
              <w:rPr>
                <w:rFonts w:ascii="Cambria Math" w:eastAsia="Times New Roman" w:hAnsi="Cambria Math"/>
              </w:rPr>
              <m:t>1</m:t>
            </m:r>
          </m:sub>
        </m:sSub>
        <m:r>
          <w:rPr>
            <w:rFonts w:ascii="Cambria Math" w:eastAsia="Times New Roman" w:hAnsi="Cambria Math"/>
          </w:rPr>
          <m:t>&lt;0</m:t>
        </m:r>
      </m:oMath>
      <w:r w:rsidRPr="0073265E">
        <w:rPr>
          <w:rFonts w:eastAsia="Times New Roman"/>
        </w:rPr>
        <w:t xml:space="preserve">, a unit-root regime when </w:t>
      </w:r>
      <m:oMath>
        <m:sSub>
          <m:sSubPr>
            <m:ctrlPr>
              <w:rPr>
                <w:rFonts w:ascii="Cambria Math" w:eastAsia="Times New Roman" w:hAnsi="Cambria Math"/>
              </w:rPr>
            </m:ctrlPr>
          </m:sSubPr>
          <m:e>
            <m:r>
              <w:rPr>
                <w:rFonts w:ascii="Cambria Math" w:eastAsia="Times New Roman" w:hAnsi="Cambria Math"/>
              </w:rPr>
              <m:t>ϕ</m:t>
            </m:r>
          </m:e>
          <m:sub>
            <m:r>
              <w:rPr>
                <w:rFonts w:ascii="Cambria Math" w:eastAsia="Times New Roman" w:hAnsi="Cambria Math"/>
              </w:rPr>
              <m:t>0</m:t>
            </m:r>
          </m:sub>
        </m:sSub>
        <m:r>
          <w:rPr>
            <w:rFonts w:ascii="Cambria Math" w:eastAsia="Times New Roman" w:hAnsi="Cambria Math"/>
          </w:rPr>
          <m:t>=0</m:t>
        </m:r>
      </m:oMath>
      <w:r w:rsidR="00935EAC">
        <w:rPr>
          <w:rFonts w:eastAsia="Times New Roman"/>
        </w:rPr>
        <w:t xml:space="preserve"> </w:t>
      </w:r>
      <w:r w:rsidRPr="0073265E">
        <w:rPr>
          <w:rFonts w:eastAsia="Times New Roman"/>
        </w:rPr>
        <w:t xml:space="preserve">and </w:t>
      </w:r>
      <m:oMath>
        <m:sSub>
          <m:sSubPr>
            <m:ctrlPr>
              <w:rPr>
                <w:rFonts w:ascii="Cambria Math" w:eastAsia="Times New Roman" w:hAnsi="Cambria Math"/>
              </w:rPr>
            </m:ctrlPr>
          </m:sSubPr>
          <m:e>
            <m:r>
              <w:rPr>
                <w:rFonts w:ascii="Cambria Math" w:eastAsia="Times New Roman" w:hAnsi="Cambria Math"/>
              </w:rPr>
              <m:t>ϕ</m:t>
            </m:r>
          </m:e>
          <m:sub>
            <m:r>
              <w:rPr>
                <w:rFonts w:ascii="Cambria Math" w:eastAsia="Times New Roman" w:hAnsi="Cambria Math"/>
              </w:rPr>
              <m:t>1</m:t>
            </m:r>
          </m:sub>
        </m:sSub>
        <m:r>
          <w:rPr>
            <w:rFonts w:ascii="Cambria Math" w:eastAsia="Times New Roman" w:hAnsi="Cambria Math"/>
          </w:rPr>
          <m:t>=0</m:t>
        </m:r>
      </m:oMath>
      <w:r w:rsidRPr="0073265E">
        <w:rPr>
          <w:rFonts w:eastAsia="Times New Roman"/>
        </w:rPr>
        <w:t xml:space="preserve">, and explosive when </w:t>
      </w:r>
      <m:oMath>
        <m:sSub>
          <m:sSubPr>
            <m:ctrlPr>
              <w:rPr>
                <w:rFonts w:ascii="Cambria Math" w:eastAsia="Times New Roman" w:hAnsi="Cambria Math"/>
              </w:rPr>
            </m:ctrlPr>
          </m:sSubPr>
          <m:e>
            <m:r>
              <w:rPr>
                <w:rFonts w:ascii="Cambria Math" w:eastAsia="Times New Roman" w:hAnsi="Cambria Math"/>
              </w:rPr>
              <m:t>ϕ</m:t>
            </m:r>
          </m:e>
          <m:sub>
            <m:r>
              <w:rPr>
                <w:rFonts w:ascii="Cambria Math" w:eastAsia="Times New Roman" w:hAnsi="Cambria Math"/>
              </w:rPr>
              <m:t>0</m:t>
            </m:r>
          </m:sub>
        </m:sSub>
        <m:r>
          <w:rPr>
            <w:rFonts w:ascii="Cambria Math" w:eastAsia="Times New Roman" w:hAnsi="Cambria Math"/>
          </w:rPr>
          <m:t>&gt;0</m:t>
        </m:r>
      </m:oMath>
      <w:r w:rsidR="00935EAC">
        <w:rPr>
          <w:rFonts w:eastAsia="Times New Roman"/>
        </w:rPr>
        <w:t xml:space="preserve"> </w:t>
      </w:r>
      <w:r w:rsidRPr="0073265E">
        <w:rPr>
          <w:rFonts w:eastAsia="Times New Roman"/>
        </w:rPr>
        <w:t xml:space="preserve">and </w:t>
      </w:r>
      <m:oMath>
        <m:sSub>
          <m:sSubPr>
            <m:ctrlPr>
              <w:rPr>
                <w:rFonts w:ascii="Cambria Math" w:eastAsia="Times New Roman" w:hAnsi="Cambria Math"/>
              </w:rPr>
            </m:ctrlPr>
          </m:sSubPr>
          <m:e>
            <m:r>
              <w:rPr>
                <w:rFonts w:ascii="Cambria Math" w:eastAsia="Times New Roman" w:hAnsi="Cambria Math"/>
              </w:rPr>
              <m:t>ϕ</m:t>
            </m:r>
          </m:e>
          <m:sub>
            <m:r>
              <w:rPr>
                <w:rFonts w:ascii="Cambria Math" w:eastAsia="Times New Roman" w:hAnsi="Cambria Math"/>
              </w:rPr>
              <m:t>1</m:t>
            </m:r>
          </m:sub>
        </m:sSub>
        <m:r>
          <w:rPr>
            <w:rFonts w:ascii="Cambria Math" w:eastAsia="Times New Roman" w:hAnsi="Cambria Math"/>
          </w:rPr>
          <m:t>&gt;0</m:t>
        </m:r>
      </m:oMath>
      <w:r w:rsidRPr="0073265E">
        <w:rPr>
          <w:rFonts w:eastAsia="Times New Roman"/>
        </w:rPr>
        <w:t>.</w:t>
      </w:r>
    </w:p>
    <w:p w14:paraId="756C28DB" w14:textId="0491B684" w:rsidR="001058BE" w:rsidRPr="0073265E" w:rsidRDefault="001058BE" w:rsidP="0073265E">
      <w:pPr>
        <w:spacing w:before="100" w:beforeAutospacing="1" w:after="100" w:afterAutospacing="1"/>
        <w:jc w:val="both"/>
        <w:rPr>
          <w:rFonts w:eastAsia="Times New Roman"/>
        </w:rPr>
      </w:pPr>
      <w:r w:rsidRPr="0073265E">
        <w:rPr>
          <w:rFonts w:eastAsia="Times New Roman"/>
        </w:rPr>
        <w:lastRenderedPageBreak/>
        <w:t xml:space="preserve">We conduct two one-sided tests for each </w:t>
      </w:r>
      <m:oMath>
        <m:sSub>
          <m:sSubPr>
            <m:ctrlPr>
              <w:rPr>
                <w:rFonts w:ascii="Cambria Math" w:eastAsia="Times New Roman" w:hAnsi="Cambria Math"/>
              </w:rPr>
            </m:ctrlPr>
          </m:sSubPr>
          <m:e>
            <m:r>
              <w:rPr>
                <w:rFonts w:ascii="Cambria Math" w:eastAsia="Times New Roman" w:hAnsi="Cambria Math"/>
              </w:rPr>
              <m:t>ϕ</m:t>
            </m:r>
          </m:e>
          <m:sub>
            <m:r>
              <w:rPr>
                <w:rFonts w:ascii="Cambria Math" w:eastAsia="Times New Roman" w:hAnsi="Cambria Math"/>
              </w:rPr>
              <m:t>i</m:t>
            </m:r>
          </m:sub>
        </m:sSub>
      </m:oMath>
      <w:r w:rsidRPr="0073265E">
        <w:rPr>
          <w:rFonts w:eastAsia="Times New Roman"/>
        </w:rPr>
        <w:t xml:space="preserve">. The first tests the unit-root null </w:t>
      </w:r>
      <m:oMath>
        <m:sSub>
          <m:sSubPr>
            <m:ctrlPr>
              <w:rPr>
                <w:rFonts w:ascii="Cambria Math" w:eastAsia="Times New Roman" w:hAnsi="Cambria Math"/>
              </w:rPr>
            </m:ctrlPr>
          </m:sSubPr>
          <m:e>
            <m:r>
              <w:rPr>
                <w:rFonts w:ascii="Cambria Math" w:eastAsia="Times New Roman" w:hAnsi="Cambria Math"/>
              </w:rPr>
              <m:t>ϕ</m:t>
            </m:r>
          </m:e>
          <m:sub>
            <m:r>
              <w:rPr>
                <w:rFonts w:ascii="Cambria Math" w:eastAsia="Times New Roman" w:hAnsi="Cambria Math"/>
              </w:rPr>
              <m:t>i</m:t>
            </m:r>
          </m:sub>
        </m:sSub>
        <m:r>
          <w:rPr>
            <w:rFonts w:ascii="Cambria Math" w:eastAsia="Times New Roman" w:hAnsi="Cambria Math"/>
          </w:rPr>
          <m:t>=0</m:t>
        </m:r>
      </m:oMath>
      <w:r w:rsidR="0073265E">
        <w:rPr>
          <w:rFonts w:eastAsia="Times New Roman"/>
        </w:rPr>
        <w:t xml:space="preserve"> </w:t>
      </w:r>
      <w:r w:rsidRPr="0073265E">
        <w:rPr>
          <w:rFonts w:eastAsia="Times New Roman"/>
        </w:rPr>
        <w:t xml:space="preserve">against the explosive alternative </w:t>
      </w:r>
      <m:oMath>
        <m:sSub>
          <m:sSubPr>
            <m:ctrlPr>
              <w:rPr>
                <w:rFonts w:ascii="Cambria Math" w:eastAsia="Times New Roman" w:hAnsi="Cambria Math"/>
              </w:rPr>
            </m:ctrlPr>
          </m:sSubPr>
          <m:e>
            <m:r>
              <w:rPr>
                <w:rFonts w:ascii="Cambria Math" w:eastAsia="Times New Roman" w:hAnsi="Cambria Math"/>
              </w:rPr>
              <m:t>ϕ</m:t>
            </m:r>
          </m:e>
          <m:sub>
            <m:r>
              <w:rPr>
                <w:rFonts w:ascii="Cambria Math" w:eastAsia="Times New Roman" w:hAnsi="Cambria Math"/>
              </w:rPr>
              <m:t>i</m:t>
            </m:r>
          </m:sub>
        </m:sSub>
        <m:r>
          <w:rPr>
            <w:rFonts w:ascii="Cambria Math" w:eastAsia="Times New Roman" w:hAnsi="Cambria Math"/>
          </w:rPr>
          <m:t>&gt;0</m:t>
        </m:r>
      </m:oMath>
      <w:r w:rsidRPr="0073265E">
        <w:rPr>
          <w:rFonts w:eastAsia="Times New Roman"/>
        </w:rPr>
        <w:t>, rejecting the null for large values of</w:t>
      </w:r>
    </w:p>
    <w:p w14:paraId="5168539E" w14:textId="00726B73" w:rsidR="001058BE" w:rsidRPr="0073265E" w:rsidRDefault="00000000" w:rsidP="0073265E">
      <w:pPr>
        <w:spacing w:before="100" w:beforeAutospacing="1" w:after="100" w:afterAutospacing="1"/>
        <w:jc w:val="both"/>
        <w:rPr>
          <w:rFonts w:eastAsia="Times New Roman"/>
        </w:rPr>
      </w:pPr>
      <m:oMathPara>
        <m:oMath>
          <m:sSub>
            <m:sSubPr>
              <m:ctrlPr>
                <w:rPr>
                  <w:rFonts w:ascii="Cambria Math" w:eastAsia="Times New Roman" w:hAnsi="Cambria Math"/>
                </w:rPr>
              </m:ctrlPr>
            </m:sSubPr>
            <m:e>
              <m:r>
                <m:rPr>
                  <m:scr m:val="script"/>
                </m:rPr>
                <w:rPr>
                  <w:rFonts w:ascii="Cambria Math" w:eastAsia="Times New Roman" w:hAnsi="Cambria Math"/>
                </w:rPr>
                <m:t>T</m:t>
              </m:r>
            </m:e>
            <m:sub>
              <m:r>
                <w:rPr>
                  <w:rFonts w:ascii="Cambria Math" w:eastAsia="Times New Roman" w:hAnsi="Cambria Math"/>
                </w:rPr>
                <m:t>i</m:t>
              </m:r>
            </m:sub>
          </m:sSub>
          <m:r>
            <w:rPr>
              <w:rFonts w:ascii="Cambria Math" w:eastAsia="Times New Roman" w:hAnsi="Cambria Math"/>
            </w:rPr>
            <m:t>=</m:t>
          </m:r>
          <m:f>
            <m:fPr>
              <m:ctrlPr>
                <w:rPr>
                  <w:rFonts w:ascii="Cambria Math" w:eastAsia="Times New Roman" w:hAnsi="Cambria Math"/>
                </w:rPr>
              </m:ctrlPr>
            </m:fPr>
            <m:num>
              <m:sSub>
                <m:sSubPr>
                  <m:ctrlPr>
                    <w:rPr>
                      <w:rFonts w:ascii="Cambria Math" w:eastAsia="Times New Roman" w:hAnsi="Cambria Math"/>
                    </w:rPr>
                  </m:ctrlPr>
                </m:sSubPr>
                <m:e>
                  <m:acc>
                    <m:accPr>
                      <m:ctrlPr>
                        <w:rPr>
                          <w:rFonts w:ascii="Cambria Math" w:eastAsia="Times New Roman" w:hAnsi="Cambria Math"/>
                        </w:rPr>
                      </m:ctrlPr>
                    </m:accPr>
                    <m:e>
                      <m:r>
                        <w:rPr>
                          <w:rFonts w:ascii="Cambria Math" w:eastAsia="Times New Roman" w:hAnsi="Cambria Math"/>
                        </w:rPr>
                        <m:t>ϕ</m:t>
                      </m:r>
                    </m:e>
                  </m:acc>
                </m:e>
                <m:sub>
                  <m:r>
                    <w:rPr>
                      <w:rFonts w:ascii="Cambria Math" w:eastAsia="Times New Roman" w:hAnsi="Cambria Math"/>
                    </w:rPr>
                    <m:t>i</m:t>
                  </m:r>
                </m:sub>
              </m:sSub>
            </m:num>
            <m:den>
              <m:r>
                <w:rPr>
                  <w:rFonts w:ascii="Cambria Math" w:eastAsia="Times New Roman" w:hAnsi="Cambria Math"/>
                </w:rPr>
                <m:t>s(</m:t>
              </m:r>
              <m:sSub>
                <m:sSubPr>
                  <m:ctrlPr>
                    <w:rPr>
                      <w:rFonts w:ascii="Cambria Math" w:eastAsia="Times New Roman" w:hAnsi="Cambria Math"/>
                    </w:rPr>
                  </m:ctrlPr>
                </m:sSubPr>
                <m:e>
                  <m:acc>
                    <m:accPr>
                      <m:ctrlPr>
                        <w:rPr>
                          <w:rFonts w:ascii="Cambria Math" w:eastAsia="Times New Roman" w:hAnsi="Cambria Math"/>
                        </w:rPr>
                      </m:ctrlPr>
                    </m:accPr>
                    <m:e>
                      <m:r>
                        <w:rPr>
                          <w:rFonts w:ascii="Cambria Math" w:eastAsia="Times New Roman" w:hAnsi="Cambria Math"/>
                        </w:rPr>
                        <m:t>ϕ</m:t>
                      </m:r>
                    </m:e>
                  </m:acc>
                </m:e>
                <m:sub>
                  <m:r>
                    <w:rPr>
                      <w:rFonts w:ascii="Cambria Math" w:eastAsia="Times New Roman" w:hAnsi="Cambria Math"/>
                    </w:rPr>
                    <m:t>i</m:t>
                  </m:r>
                </m:sub>
              </m:sSub>
              <m:r>
                <w:rPr>
                  <w:rFonts w:ascii="Cambria Math" w:eastAsia="Times New Roman" w:hAnsi="Cambria Math"/>
                </w:rPr>
                <m:t>)</m:t>
              </m:r>
            </m:den>
          </m:f>
          <m:r>
            <w:rPr>
              <w:rFonts w:ascii="Cambria Math" w:eastAsia="Times New Roman" w:hAnsi="Cambria Math"/>
            </w:rPr>
            <m:t>,i=0,1.</m:t>
          </m:r>
        </m:oMath>
      </m:oMathPara>
    </w:p>
    <w:p w14:paraId="2A5CAA31" w14:textId="20C4FB13" w:rsidR="001058BE" w:rsidRPr="0073265E" w:rsidRDefault="001058BE" w:rsidP="58085007">
      <w:pPr>
        <w:spacing w:before="100" w:beforeAutospacing="1" w:after="100" w:afterAutospacing="1"/>
        <w:jc w:val="both"/>
        <w:rPr>
          <w:rFonts w:eastAsia="Times New Roman"/>
        </w:rPr>
      </w:pPr>
      <w:r w:rsidRPr="0073265E">
        <w:rPr>
          <w:rFonts w:eastAsia="Times New Roman"/>
        </w:rPr>
        <w:t xml:space="preserve">The second tests the unit-root null against the stationary alternative </w:t>
      </w:r>
      <m:oMath>
        <m:sSub>
          <m:sSubPr>
            <m:ctrlPr>
              <w:rPr>
                <w:rFonts w:ascii="Cambria Math" w:eastAsia="Times New Roman" w:hAnsi="Cambria Math"/>
              </w:rPr>
            </m:ctrlPr>
          </m:sSubPr>
          <m:e>
            <m:r>
              <w:rPr>
                <w:rFonts w:ascii="Cambria Math" w:eastAsia="Times New Roman" w:hAnsi="Cambria Math"/>
              </w:rPr>
              <m:t>ϕ</m:t>
            </m:r>
          </m:e>
          <m:sub>
            <m:r>
              <w:rPr>
                <w:rFonts w:ascii="Cambria Math" w:eastAsia="Times New Roman" w:hAnsi="Cambria Math"/>
              </w:rPr>
              <m:t>i</m:t>
            </m:r>
          </m:sub>
        </m:sSub>
        <m:r>
          <w:rPr>
            <w:rFonts w:ascii="Cambria Math" w:eastAsia="Times New Roman" w:hAnsi="Cambria Math"/>
          </w:rPr>
          <m:t>&lt;0</m:t>
        </m:r>
      </m:oMath>
      <w:r w:rsidRPr="0073265E">
        <w:rPr>
          <w:rFonts w:eastAsia="Times New Roman"/>
        </w:rPr>
        <w:t xml:space="preserve">, rejecting the null for sufficiently small values of </w:t>
      </w:r>
      <m:oMath>
        <m:sSub>
          <m:sSubPr>
            <m:ctrlPr>
              <w:rPr>
                <w:rFonts w:ascii="Cambria Math" w:eastAsia="Times New Roman" w:hAnsi="Cambria Math"/>
              </w:rPr>
            </m:ctrlPr>
          </m:sSubPr>
          <m:e>
            <m:r>
              <m:rPr>
                <m:scr m:val="script"/>
              </m:rPr>
              <w:rPr>
                <w:rFonts w:ascii="Cambria Math" w:eastAsia="Times New Roman" w:hAnsi="Cambria Math"/>
              </w:rPr>
              <m:t>T</m:t>
            </m:r>
          </m:e>
          <m:sub>
            <m:r>
              <w:rPr>
                <w:rFonts w:ascii="Cambria Math" w:eastAsia="Times New Roman" w:hAnsi="Cambria Math"/>
              </w:rPr>
              <m:t>i</m:t>
            </m:r>
          </m:sub>
        </m:sSub>
      </m:oMath>
      <w:r w:rsidRPr="0073265E">
        <w:rPr>
          <w:rFonts w:eastAsia="Times New Roman"/>
        </w:rPr>
        <w:t xml:space="preserve">. The p-values and critical values are obtained via a parametric bootstrap following Hall, Psaradakis, and Sola (1999) and Morita et al. (2024). Bootstrap samples </w:t>
      </w:r>
      <m:oMath>
        <m:sSubSup>
          <m:sSubSupPr>
            <m:ctrlPr>
              <w:rPr>
                <w:rFonts w:ascii="Cambria Math" w:hAnsi="Cambria Math"/>
              </w:rPr>
            </m:ctrlPr>
          </m:sSubSupPr>
          <m:e>
            <m:r>
              <w:rPr>
                <w:rFonts w:ascii="Cambria Math" w:hAnsi="Cambria Math"/>
              </w:rPr>
              <m:t>X</m:t>
            </m:r>
          </m:e>
          <m:sub>
            <m:r>
              <w:rPr>
                <w:rFonts w:ascii="Cambria Math" w:hAnsi="Cambria Math"/>
              </w:rPr>
              <m:t>t</m:t>
            </m:r>
          </m:sub>
          <m:sup>
            <m:r>
              <w:rPr>
                <w:rFonts w:ascii="Cambria Math" w:hAnsi="Cambria Math"/>
              </w:rPr>
              <m:t>⋅</m:t>
            </m:r>
          </m:sup>
        </m:sSubSup>
      </m:oMath>
      <w:r w:rsidRPr="0073265E">
        <w:rPr>
          <w:rFonts w:eastAsia="Times New Roman"/>
        </w:rPr>
        <w:t xml:space="preserve"> generated recursively from the estimated model:</w:t>
      </w:r>
    </w:p>
    <w:p w14:paraId="3FF9F2D1" w14:textId="3E24117A" w:rsidR="001058BE" w:rsidRPr="0073265E" w:rsidRDefault="00000000" w:rsidP="0073265E">
      <w:pPr>
        <w:spacing w:before="100" w:beforeAutospacing="1" w:after="100" w:afterAutospacing="1"/>
        <w:jc w:val="both"/>
        <w:rPr>
          <w:rFonts w:eastAsia="Times New Roman"/>
        </w:rPr>
      </w:pPr>
      <m:oMathPara>
        <m:oMath>
          <m:sSubSup>
            <m:sSubSupPr>
              <m:ctrlPr>
                <w:rPr>
                  <w:rFonts w:ascii="Cambria Math" w:eastAsia="Times New Roman" w:hAnsi="Cambria Math"/>
                </w:rPr>
              </m:ctrlPr>
            </m:sSubSupPr>
            <m:e>
              <m:r>
                <w:rPr>
                  <w:rFonts w:ascii="Cambria Math" w:eastAsia="Times New Roman" w:hAnsi="Cambria Math"/>
                </w:rPr>
                <m:t>X</m:t>
              </m:r>
            </m:e>
            <m:sub>
              <m:r>
                <w:rPr>
                  <w:rFonts w:ascii="Cambria Math" w:eastAsia="Times New Roman" w:hAnsi="Cambria Math"/>
                </w:rPr>
                <m:t>t</m:t>
              </m:r>
            </m:sub>
            <m:sup>
              <m:r>
                <w:rPr>
                  <w:rFonts w:ascii="Cambria Math" w:eastAsia="Times New Roman" w:hAnsi="Cambria Math"/>
                </w:rPr>
                <m:t>*</m:t>
              </m:r>
            </m:sup>
          </m:sSubSup>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X</m:t>
              </m:r>
            </m:e>
            <m:sub>
              <m:r>
                <w:rPr>
                  <w:rFonts w:ascii="Cambria Math" w:eastAsia="Times New Roman" w:hAnsi="Cambria Math"/>
                </w:rPr>
                <m:t>t-1</m:t>
              </m:r>
            </m:sub>
            <m:sup>
              <m:r>
                <w:rPr>
                  <w:rFonts w:ascii="Cambria Math" w:eastAsia="Times New Roman" w:hAnsi="Cambria Math"/>
                </w:rPr>
                <m:t>*</m:t>
              </m:r>
            </m:sup>
          </m:sSubSup>
          <m:r>
            <w:rPr>
              <w:rFonts w:ascii="Cambria Math" w:eastAsia="Times New Roman" w:hAnsi="Cambria Math"/>
            </w:rPr>
            <m:t>+</m:t>
          </m:r>
          <m:sSub>
            <m:sSubPr>
              <m:ctrlPr>
                <w:rPr>
                  <w:rFonts w:ascii="Cambria Math" w:eastAsia="Times New Roman" w:hAnsi="Cambria Math"/>
                </w:rPr>
              </m:ctrlPr>
            </m:sSubPr>
            <m:e>
              <m:acc>
                <m:accPr>
                  <m:ctrlPr>
                    <w:rPr>
                      <w:rFonts w:ascii="Cambria Math" w:eastAsia="Times New Roman" w:hAnsi="Cambria Math"/>
                    </w:rPr>
                  </m:ctrlPr>
                </m:accPr>
                <m:e>
                  <m:r>
                    <w:rPr>
                      <w:rFonts w:ascii="Cambria Math" w:eastAsia="Times New Roman" w:hAnsi="Cambria Math"/>
                    </w:rPr>
                    <m:t>α</m:t>
                  </m:r>
                </m:e>
              </m:acc>
            </m:e>
            <m:sub>
              <m:r>
                <w:rPr>
                  <w:rFonts w:ascii="Cambria Math" w:eastAsia="Times New Roman" w:hAnsi="Cambria Math"/>
                </w:rPr>
                <m:t>0</m:t>
              </m:r>
            </m:sub>
          </m:sSub>
          <m:r>
            <w:rPr>
              <w:rFonts w:ascii="Cambria Math" w:eastAsia="Times New Roman" w:hAnsi="Cambria Math"/>
            </w:rPr>
            <m:t>+(</m:t>
          </m:r>
          <m:sSub>
            <m:sSubPr>
              <m:ctrlPr>
                <w:rPr>
                  <w:rFonts w:ascii="Cambria Math" w:eastAsia="Times New Roman" w:hAnsi="Cambria Math"/>
                </w:rPr>
              </m:ctrlPr>
            </m:sSubPr>
            <m:e>
              <m:acc>
                <m:accPr>
                  <m:ctrlPr>
                    <w:rPr>
                      <w:rFonts w:ascii="Cambria Math" w:eastAsia="Times New Roman" w:hAnsi="Cambria Math"/>
                    </w:rPr>
                  </m:ctrlPr>
                </m:accPr>
                <m:e>
                  <m:r>
                    <w:rPr>
                      <w:rFonts w:ascii="Cambria Math" w:eastAsia="Times New Roman" w:hAnsi="Cambria Math"/>
                    </w:rPr>
                    <m:t>α</m:t>
                  </m:r>
                </m:e>
              </m:acc>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rPr>
              </m:ctrlPr>
            </m:sSubPr>
            <m:e>
              <m:acc>
                <m:accPr>
                  <m:ctrlPr>
                    <w:rPr>
                      <w:rFonts w:ascii="Cambria Math" w:eastAsia="Times New Roman" w:hAnsi="Cambria Math"/>
                    </w:rPr>
                  </m:ctrlPr>
                </m:accPr>
                <m:e>
                  <m:r>
                    <w:rPr>
                      <w:rFonts w:ascii="Cambria Math" w:eastAsia="Times New Roman" w:hAnsi="Cambria Math"/>
                    </w:rPr>
                    <m:t>α</m:t>
                  </m:r>
                </m:e>
              </m:acc>
            </m:e>
            <m:sub>
              <m:r>
                <w:rPr>
                  <w:rFonts w:ascii="Cambria Math" w:eastAsia="Times New Roman" w:hAnsi="Cambria Math"/>
                </w:rPr>
                <m:t>0</m:t>
              </m:r>
            </m:sub>
          </m:sSub>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S</m:t>
              </m:r>
            </m:e>
            <m:sub>
              <m:r>
                <w:rPr>
                  <w:rFonts w:ascii="Cambria Math" w:eastAsia="Times New Roman" w:hAnsi="Cambria Math"/>
                </w:rPr>
                <m:t>1,t</m:t>
              </m:r>
            </m:sub>
            <m:sup>
              <m:r>
                <w:rPr>
                  <w:rFonts w:ascii="Cambria Math" w:eastAsia="Times New Roman" w:hAnsi="Cambria Math"/>
                </w:rPr>
                <m:t>*</m:t>
              </m:r>
            </m:sup>
          </m:sSubSup>
          <m:r>
            <w:rPr>
              <w:rFonts w:ascii="Cambria Math" w:eastAsia="Times New Roman" w:hAnsi="Cambria Math"/>
            </w:rPr>
            <m:t>+</m:t>
          </m:r>
          <m:nary>
            <m:naryPr>
              <m:chr m:val="∑"/>
              <m:limLoc m:val="undOvr"/>
              <m:grow m:val="1"/>
              <m:ctrlPr>
                <w:rPr>
                  <w:rFonts w:ascii="Cambria Math" w:eastAsia="Times New Roman" w:hAnsi="Cambria Math"/>
                </w:rPr>
              </m:ctrlPr>
            </m:naryPr>
            <m:sub>
              <m:r>
                <w:rPr>
                  <w:rFonts w:ascii="Cambria Math" w:eastAsia="Times New Roman" w:hAnsi="Cambria Math"/>
                </w:rPr>
                <m:t>k=1</m:t>
              </m:r>
            </m:sub>
            <m:sup>
              <m:r>
                <w:rPr>
                  <w:rFonts w:ascii="Cambria Math" w:eastAsia="Times New Roman" w:hAnsi="Cambria Math"/>
                </w:rPr>
                <m:t>B</m:t>
              </m:r>
            </m:sup>
            <m:e>
              <m:r>
                <w:rPr>
                  <w:rFonts w:ascii="Cambria Math" w:eastAsia="Times New Roman" w:hAnsi="Cambria Math"/>
                </w:rPr>
                <m:t>[</m:t>
              </m:r>
              <m:sSub>
                <m:sSubPr>
                  <m:ctrlPr>
                    <w:rPr>
                      <w:rFonts w:ascii="Cambria Math" w:eastAsia="Times New Roman" w:hAnsi="Cambria Math"/>
                    </w:rPr>
                  </m:ctrlPr>
                </m:sSubPr>
                <m:e>
                  <m:acc>
                    <m:accPr>
                      <m:ctrlPr>
                        <w:rPr>
                          <w:rFonts w:ascii="Cambria Math" w:eastAsia="Times New Roman" w:hAnsi="Cambria Math"/>
                        </w:rPr>
                      </m:ctrlPr>
                    </m:accPr>
                    <m:e>
                      <m:r>
                        <w:rPr>
                          <w:rFonts w:ascii="Cambria Math" w:eastAsia="Times New Roman" w:hAnsi="Cambria Math"/>
                        </w:rPr>
                        <m:t>ψ</m:t>
                      </m:r>
                    </m:e>
                  </m:acc>
                </m:e>
                <m:sub>
                  <m:r>
                    <w:rPr>
                      <w:rFonts w:ascii="Cambria Math" w:eastAsia="Times New Roman" w:hAnsi="Cambria Math"/>
                    </w:rPr>
                    <m:t>0,k</m:t>
                  </m:r>
                </m:sub>
              </m:sSub>
              <m:r>
                <w:rPr>
                  <w:rFonts w:ascii="Cambria Math" w:eastAsia="Times New Roman" w:hAnsi="Cambria Math"/>
                </w:rPr>
                <m:t>+(</m:t>
              </m:r>
              <m:sSub>
                <m:sSubPr>
                  <m:ctrlPr>
                    <w:rPr>
                      <w:rFonts w:ascii="Cambria Math" w:eastAsia="Times New Roman" w:hAnsi="Cambria Math"/>
                    </w:rPr>
                  </m:ctrlPr>
                </m:sSubPr>
                <m:e>
                  <m:acc>
                    <m:accPr>
                      <m:ctrlPr>
                        <w:rPr>
                          <w:rFonts w:ascii="Cambria Math" w:eastAsia="Times New Roman" w:hAnsi="Cambria Math"/>
                        </w:rPr>
                      </m:ctrlPr>
                    </m:accPr>
                    <m:e>
                      <m:r>
                        <w:rPr>
                          <w:rFonts w:ascii="Cambria Math" w:eastAsia="Times New Roman" w:hAnsi="Cambria Math"/>
                        </w:rPr>
                        <m:t>ψ</m:t>
                      </m:r>
                    </m:e>
                  </m:acc>
                </m:e>
                <m:sub>
                  <m:r>
                    <w:rPr>
                      <w:rFonts w:ascii="Cambria Math" w:eastAsia="Times New Roman" w:hAnsi="Cambria Math"/>
                    </w:rPr>
                    <m:t>1,k</m:t>
                  </m:r>
                </m:sub>
              </m:sSub>
              <m:r>
                <w:rPr>
                  <w:rFonts w:ascii="Cambria Math" w:eastAsia="Times New Roman" w:hAnsi="Cambria Math"/>
                </w:rPr>
                <m:t>-</m:t>
              </m:r>
              <m:sSub>
                <m:sSubPr>
                  <m:ctrlPr>
                    <w:rPr>
                      <w:rFonts w:ascii="Cambria Math" w:eastAsia="Times New Roman" w:hAnsi="Cambria Math"/>
                    </w:rPr>
                  </m:ctrlPr>
                </m:sSubPr>
                <m:e>
                  <m:acc>
                    <m:accPr>
                      <m:ctrlPr>
                        <w:rPr>
                          <w:rFonts w:ascii="Cambria Math" w:eastAsia="Times New Roman" w:hAnsi="Cambria Math"/>
                        </w:rPr>
                      </m:ctrlPr>
                    </m:accPr>
                    <m:e>
                      <m:r>
                        <w:rPr>
                          <w:rFonts w:ascii="Cambria Math" w:eastAsia="Times New Roman" w:hAnsi="Cambria Math"/>
                        </w:rPr>
                        <m:t>ψ</m:t>
                      </m:r>
                    </m:e>
                  </m:acc>
                </m:e>
                <m:sub>
                  <m:r>
                    <w:rPr>
                      <w:rFonts w:ascii="Cambria Math" w:eastAsia="Times New Roman" w:hAnsi="Cambria Math"/>
                    </w:rPr>
                    <m:t>0,k</m:t>
                  </m:r>
                </m:sub>
              </m:sSub>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S</m:t>
                  </m:r>
                </m:e>
                <m:sub>
                  <m:r>
                    <w:rPr>
                      <w:rFonts w:ascii="Cambria Math" w:eastAsia="Times New Roman" w:hAnsi="Cambria Math"/>
                    </w:rPr>
                    <m:t>3,t</m:t>
                  </m:r>
                </m:sub>
                <m:sup>
                  <m:r>
                    <w:rPr>
                      <w:rFonts w:ascii="Cambria Math" w:eastAsia="Times New Roman" w:hAnsi="Cambria Math"/>
                    </w:rPr>
                    <m:t>*</m:t>
                  </m:r>
                </m:sup>
              </m:sSubSup>
              <m:r>
                <w:rPr>
                  <w:rFonts w:ascii="Cambria Math" w:eastAsia="Times New Roman" w:hAnsi="Cambria Math"/>
                </w:rPr>
                <m:t>]</m:t>
              </m:r>
            </m:e>
          </m:nary>
          <m:r>
            <m:rPr>
              <m:sty m:val="p"/>
            </m:rPr>
            <w:rPr>
              <w:rFonts w:ascii="Cambria Math" w:eastAsia="Times New Roman" w:hAnsi="Cambria Math"/>
            </w:rPr>
            <m:t>Δ</m:t>
          </m:r>
          <m:sSubSup>
            <m:sSubSupPr>
              <m:ctrlPr>
                <w:rPr>
                  <w:rFonts w:ascii="Cambria Math" w:eastAsia="Times New Roman" w:hAnsi="Cambria Math"/>
                </w:rPr>
              </m:ctrlPr>
            </m:sSubSupPr>
            <m:e>
              <m:r>
                <w:rPr>
                  <w:rFonts w:ascii="Cambria Math" w:eastAsia="Times New Roman" w:hAnsi="Cambria Math"/>
                </w:rPr>
                <m:t>X</m:t>
              </m:r>
            </m:e>
            <m:sub>
              <m:r>
                <w:rPr>
                  <w:rFonts w:ascii="Cambria Math" w:eastAsia="Times New Roman" w:hAnsi="Cambria Math"/>
                </w:rPr>
                <m:t>t-k</m:t>
              </m:r>
            </m:sub>
            <m:sup>
              <m:r>
                <w:rPr>
                  <w:rFonts w:ascii="Cambria Math" w:eastAsia="Times New Roman" w:hAnsi="Cambria Math"/>
                </w:rPr>
                <m:t>*</m:t>
              </m:r>
            </m:sup>
          </m:sSubSup>
          <m:r>
            <w:rPr>
              <w:rFonts w:ascii="Cambria Math" w:eastAsia="Times New Roman" w:hAnsi="Cambria Math"/>
            </w:rPr>
            <m:t>+</m:t>
          </m:r>
          <m:sSub>
            <m:sSubPr>
              <m:ctrlPr>
                <w:rPr>
                  <w:rFonts w:ascii="Cambria Math" w:eastAsia="Times New Roman" w:hAnsi="Cambria Math"/>
                </w:rPr>
              </m:ctrlPr>
            </m:sSubPr>
            <m:e>
              <m:acc>
                <m:accPr>
                  <m:ctrlPr>
                    <w:rPr>
                      <w:rFonts w:ascii="Cambria Math" w:eastAsia="Times New Roman" w:hAnsi="Cambria Math"/>
                    </w:rPr>
                  </m:ctrlPr>
                </m:accPr>
                <m:e>
                  <m:r>
                    <w:rPr>
                      <w:rFonts w:ascii="Cambria Math" w:eastAsia="Times New Roman" w:hAnsi="Cambria Math"/>
                    </w:rPr>
                    <m:t>ω</m:t>
                  </m:r>
                </m:e>
              </m:acc>
            </m:e>
            <m:sub>
              <m:r>
                <w:rPr>
                  <w:rFonts w:ascii="Cambria Math" w:eastAsia="Times New Roman" w:hAnsi="Cambria Math"/>
                </w:rPr>
                <m:t>0</m:t>
              </m:r>
            </m:sub>
          </m:sSub>
          <m:r>
            <w:rPr>
              <w:rFonts w:ascii="Cambria Math" w:eastAsia="Times New Roman" w:hAnsi="Cambria Math"/>
            </w:rPr>
            <m:t>+(</m:t>
          </m:r>
          <m:sSub>
            <m:sSubPr>
              <m:ctrlPr>
                <w:rPr>
                  <w:rFonts w:ascii="Cambria Math" w:eastAsia="Times New Roman" w:hAnsi="Cambria Math"/>
                </w:rPr>
              </m:ctrlPr>
            </m:sSubPr>
            <m:e>
              <m:acc>
                <m:accPr>
                  <m:ctrlPr>
                    <w:rPr>
                      <w:rFonts w:ascii="Cambria Math" w:eastAsia="Times New Roman" w:hAnsi="Cambria Math"/>
                    </w:rPr>
                  </m:ctrlPr>
                </m:accPr>
                <m:e>
                  <m:r>
                    <w:rPr>
                      <w:rFonts w:ascii="Cambria Math" w:eastAsia="Times New Roman" w:hAnsi="Cambria Math"/>
                    </w:rPr>
                    <m:t>ω</m:t>
                  </m:r>
                </m:e>
              </m:acc>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rPr>
              </m:ctrlPr>
            </m:sSubPr>
            <m:e>
              <m:acc>
                <m:accPr>
                  <m:ctrlPr>
                    <w:rPr>
                      <w:rFonts w:ascii="Cambria Math" w:eastAsia="Times New Roman" w:hAnsi="Cambria Math"/>
                    </w:rPr>
                  </m:ctrlPr>
                </m:accPr>
                <m:e>
                  <m:r>
                    <w:rPr>
                      <w:rFonts w:ascii="Cambria Math" w:eastAsia="Times New Roman" w:hAnsi="Cambria Math"/>
                    </w:rPr>
                    <m:t>ω</m:t>
                  </m:r>
                </m:e>
              </m:acc>
            </m:e>
            <m:sub>
              <m:r>
                <w:rPr>
                  <w:rFonts w:ascii="Cambria Math" w:eastAsia="Times New Roman" w:hAnsi="Cambria Math"/>
                </w:rPr>
                <m:t>0</m:t>
              </m:r>
            </m:sub>
          </m:sSub>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S</m:t>
              </m:r>
            </m:e>
            <m:sub>
              <m:r>
                <w:rPr>
                  <w:rFonts w:ascii="Cambria Math" w:eastAsia="Times New Roman" w:hAnsi="Cambria Math"/>
                </w:rPr>
                <m:t>2,t</m:t>
              </m:r>
            </m:sub>
            <m:sup>
              <m:r>
                <w:rPr>
                  <w:rFonts w:ascii="Cambria Math" w:eastAsia="Times New Roman" w:hAnsi="Cambria Math"/>
                </w:rPr>
                <m:t>*</m:t>
              </m:r>
            </m:sup>
          </m:sSubSup>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u</m:t>
              </m:r>
            </m:e>
            <m:sub>
              <m:r>
                <w:rPr>
                  <w:rFonts w:ascii="Cambria Math" w:eastAsia="Times New Roman" w:hAnsi="Cambria Math"/>
                </w:rPr>
                <m:t>t</m:t>
              </m:r>
            </m:sub>
            <m:sup>
              <m:r>
                <w:rPr>
                  <w:rFonts w:ascii="Cambria Math" w:eastAsia="Times New Roman" w:hAnsi="Cambria Math"/>
                </w:rPr>
                <m:t>*</m:t>
              </m:r>
            </m:sup>
          </m:sSubSup>
          <m:r>
            <m:rPr>
              <m:sty m:val="p"/>
            </m:rPr>
            <w:rPr>
              <w:rFonts w:ascii="Cambria Math" w:eastAsia="Times New Roman" w:hAnsi="Cambria Math"/>
            </w:rPr>
            <m:t>.</m:t>
          </m:r>
          <m:r>
            <m:rPr>
              <m:sty m:val="p"/>
            </m:rPr>
            <w:rPr>
              <w:rFonts w:eastAsia="Times New Roman"/>
            </w:rPr>
            <w:br/>
          </m:r>
        </m:oMath>
      </m:oMathPara>
    </w:p>
    <w:p w14:paraId="72E50DAB" w14:textId="77777777" w:rsidR="001058BE" w:rsidRPr="0073265E" w:rsidRDefault="001058BE" w:rsidP="0073265E">
      <w:pPr>
        <w:spacing w:before="100" w:beforeAutospacing="1" w:after="100" w:afterAutospacing="1"/>
        <w:jc w:val="both"/>
        <w:rPr>
          <w:rFonts w:eastAsia="Times New Roman"/>
        </w:rPr>
      </w:pPr>
      <w:r w:rsidRPr="0073265E">
        <w:rPr>
          <w:rFonts w:eastAsia="Times New Roman"/>
        </w:rPr>
        <w:t>Regime indicators in the bootstrap samples are also generated from estimated transition probabilities. We use 1000 bootstrap replications to construct p-values.</w:t>
      </w:r>
    </w:p>
    <w:p w14:paraId="584A5FD7" w14:textId="69FC6715" w:rsidR="001058BE" w:rsidRPr="0073265E" w:rsidRDefault="00FD4624" w:rsidP="0073265E">
      <w:pPr>
        <w:rPr>
          <w:rFonts w:eastAsia="Times New Roman"/>
          <w:b/>
          <w:bCs/>
        </w:rPr>
      </w:pPr>
      <w:r w:rsidRPr="0073265E">
        <w:rPr>
          <w:rFonts w:eastAsia="Times New Roman"/>
          <w:b/>
          <w:bCs/>
        </w:rPr>
        <w:t>3.4. Global stationarity</w:t>
      </w:r>
    </w:p>
    <w:p w14:paraId="304113BE" w14:textId="535AE8A5" w:rsidR="005B2745" w:rsidRPr="005B2745" w:rsidRDefault="3F82F0DF" w:rsidP="3F82F0DF">
      <w:pPr>
        <w:spacing w:before="100" w:beforeAutospacing="1" w:after="100" w:afterAutospacing="1"/>
        <w:jc w:val="both"/>
        <w:rPr>
          <w:rFonts w:eastAsia="Times New Roman"/>
        </w:rPr>
      </w:pPr>
      <w:r w:rsidRPr="3F82F0DF">
        <w:rPr>
          <w:rFonts w:eastAsia="Times New Roman"/>
        </w:rPr>
        <w:t>This framework allows us to distinguish local properties of the current account process from its global behavior. A series may appear stationary within each regime yet fail to satisfy global stationarity if transitions across regimes are sufficiently frequent. This distinction is central for assessing long-run sustainability. It aligns directly with the intertemporal and Bohn</w:t>
      </w:r>
      <w:r w:rsidR="00FD1C39">
        <w:rPr>
          <w:rFonts w:eastAsia="Times New Roman"/>
        </w:rPr>
        <w:t>-</w:t>
      </w:r>
      <w:r w:rsidRPr="3F82F0DF">
        <w:rPr>
          <w:rFonts w:eastAsia="Times New Roman"/>
        </w:rPr>
        <w:t>style perspectives discussed in Section 2, which emphasize the importance of corrective dynamics over time rather than the absence of short-run instability.</w:t>
      </w:r>
    </w:p>
    <w:p w14:paraId="4A07B245" w14:textId="3004779F" w:rsidR="001058BE" w:rsidRPr="0073265E" w:rsidRDefault="001058BE" w:rsidP="0073265E">
      <w:pPr>
        <w:spacing w:before="100" w:beforeAutospacing="1" w:after="100" w:afterAutospacing="1"/>
        <w:jc w:val="both"/>
        <w:rPr>
          <w:rFonts w:eastAsia="Times New Roman"/>
        </w:rPr>
      </w:pPr>
      <w:r w:rsidRPr="0073265E">
        <w:rPr>
          <w:rFonts w:eastAsia="Times New Roman"/>
        </w:rPr>
        <w:t xml:space="preserve">Global stationarity requires evaluating the second-order stationarity conditions of Psaradakis et al. (2004). Let </w:t>
      </w:r>
      <m:oMath>
        <m:sSub>
          <m:sSubPr>
            <m:ctrlPr>
              <w:rPr>
                <w:rFonts w:ascii="Cambria Math" w:eastAsia="Times New Roman" w:hAnsi="Cambria Math"/>
              </w:rPr>
            </m:ctrlPr>
          </m:sSubPr>
          <m:e>
            <m:r>
              <w:rPr>
                <w:rFonts w:ascii="Cambria Math" w:eastAsia="Times New Roman" w:hAnsi="Cambria Math"/>
              </w:rPr>
              <m:t>p</m:t>
            </m:r>
          </m:e>
          <m:sub>
            <m:r>
              <w:rPr>
                <w:rFonts w:ascii="Cambria Math" w:eastAsia="Times New Roman" w:hAnsi="Cambria Math"/>
              </w:rPr>
              <m:t>0,0</m:t>
            </m:r>
          </m:sub>
        </m:sSub>
        <m:r>
          <w:rPr>
            <w:rFonts w:ascii="Cambria Math" w:eastAsia="Times New Roman" w:hAnsi="Cambria Math"/>
          </w:rPr>
          <m:t xml:space="preserve"> </m:t>
        </m:r>
      </m:oMath>
      <w:r w:rsidRPr="0073265E">
        <w:rPr>
          <w:rFonts w:eastAsia="Times New Roman"/>
        </w:rPr>
        <w:t xml:space="preserve">and </w:t>
      </w:r>
      <m:oMath>
        <m:sSub>
          <m:sSubPr>
            <m:ctrlPr>
              <w:rPr>
                <w:rFonts w:ascii="Cambria Math" w:eastAsia="Times New Roman" w:hAnsi="Cambria Math"/>
              </w:rPr>
            </m:ctrlPr>
          </m:sSubPr>
          <m:e>
            <m:r>
              <w:rPr>
                <w:rFonts w:ascii="Cambria Math" w:eastAsia="Times New Roman" w:hAnsi="Cambria Math"/>
              </w:rPr>
              <m:t>p</m:t>
            </m:r>
          </m:e>
          <m:sub>
            <m:r>
              <w:rPr>
                <w:rFonts w:ascii="Cambria Math" w:eastAsia="Times New Roman" w:hAnsi="Cambria Math"/>
              </w:rPr>
              <m:t>1,1</m:t>
            </m:r>
          </m:sub>
        </m:sSub>
        <m:r>
          <w:rPr>
            <w:rFonts w:ascii="Cambria Math" w:eastAsia="Times New Roman" w:hAnsi="Cambria Math"/>
          </w:rPr>
          <m:t xml:space="preserve"> </m:t>
        </m:r>
      </m:oMath>
      <w:r w:rsidRPr="0073265E">
        <w:rPr>
          <w:rFonts w:eastAsia="Times New Roman"/>
        </w:rPr>
        <w:t xml:space="preserve">denote the persistence of the two regimes and let </w:t>
      </w:r>
      <m:oMath>
        <m:sSub>
          <m:sSubPr>
            <m:ctrlPr>
              <w:rPr>
                <w:rFonts w:ascii="Cambria Math" w:eastAsia="Times New Roman" w:hAnsi="Cambria Math"/>
              </w:rPr>
            </m:ctrlPr>
          </m:sSubPr>
          <m:e>
            <m:r>
              <w:rPr>
                <w:rFonts w:ascii="Cambria Math" w:eastAsia="Times New Roman" w:hAnsi="Cambria Math"/>
              </w:rPr>
              <m:t>ρ</m:t>
            </m:r>
          </m:e>
          <m:sub>
            <m:r>
              <w:rPr>
                <w:rFonts w:ascii="Cambria Math" w:eastAsia="Times New Roman" w:hAnsi="Cambria Math"/>
              </w:rPr>
              <m:t>0</m:t>
            </m:r>
          </m:sub>
        </m:sSub>
        <m:r>
          <w:rPr>
            <w:rFonts w:ascii="Cambria Math" w:eastAsia="Times New Roman" w:hAnsi="Cambria Math"/>
          </w:rPr>
          <m:t xml:space="preserve"> </m:t>
        </m:r>
      </m:oMath>
      <w:r w:rsidRPr="0073265E">
        <w:rPr>
          <w:rFonts w:eastAsia="Times New Roman"/>
        </w:rPr>
        <w:t xml:space="preserve">and </w:t>
      </w:r>
      <m:oMath>
        <m:sSub>
          <m:sSubPr>
            <m:ctrlPr>
              <w:rPr>
                <w:rFonts w:ascii="Cambria Math" w:eastAsia="Times New Roman" w:hAnsi="Cambria Math"/>
              </w:rPr>
            </m:ctrlPr>
          </m:sSubPr>
          <m:e>
            <m:r>
              <w:rPr>
                <w:rFonts w:ascii="Cambria Math" w:eastAsia="Times New Roman" w:hAnsi="Cambria Math"/>
              </w:rPr>
              <m:t>ρ</m:t>
            </m:r>
          </m:e>
          <m:sub>
            <m:r>
              <w:rPr>
                <w:rFonts w:ascii="Cambria Math" w:eastAsia="Times New Roman" w:hAnsi="Cambria Math"/>
              </w:rPr>
              <m:t>1</m:t>
            </m:r>
          </m:sub>
        </m:sSub>
        <m:r>
          <w:rPr>
            <w:rFonts w:ascii="Cambria Math" w:eastAsia="Times New Roman" w:hAnsi="Cambria Math"/>
          </w:rPr>
          <m:t xml:space="preserve"> </m:t>
        </m:r>
      </m:oMath>
      <w:r w:rsidRPr="0073265E">
        <w:rPr>
          <w:rFonts w:eastAsia="Times New Roman"/>
        </w:rPr>
        <w:t>denote the respective persistence parameters. The necessary and sufficient conditions for global stationarity are</w:t>
      </w:r>
    </w:p>
    <w:p w14:paraId="244EE7A5" w14:textId="16C68BED" w:rsidR="001058BE" w:rsidRPr="0073265E" w:rsidRDefault="00000000" w:rsidP="0073265E">
      <w:pPr>
        <w:spacing w:before="100" w:beforeAutospacing="1" w:after="100" w:afterAutospacing="1"/>
        <w:jc w:val="both"/>
        <w:rPr>
          <w:rFonts w:eastAsia="Times New Roman"/>
        </w:rPr>
      </w:pPr>
      <m:oMathPara>
        <m:oMath>
          <m:m>
            <m:mPr>
              <m:plcHide m:val="1"/>
              <m:mcs>
                <m:mc>
                  <m:mcPr>
                    <m:count m:val="4"/>
                    <m:mcJc m:val="center"/>
                  </m:mcPr>
                </m:mc>
              </m:mcs>
              <m:ctrlPr>
                <w:rPr>
                  <w:rFonts w:ascii="Cambria Math" w:eastAsia="Times New Roman" w:hAnsi="Cambria Math"/>
                </w:rPr>
              </m:ctrlPr>
            </m:mPr>
            <m:mr>
              <m:e/>
              <m:e>
                <m:sSub>
                  <m:sSubPr>
                    <m:ctrlPr>
                      <w:rPr>
                        <w:rFonts w:ascii="Cambria Math" w:eastAsia="Times New Roman" w:hAnsi="Cambria Math"/>
                      </w:rPr>
                    </m:ctrlPr>
                  </m:sSubPr>
                  <m:e>
                    <m:r>
                      <w:rPr>
                        <w:rFonts w:ascii="Cambria Math" w:eastAsia="Times New Roman" w:hAnsi="Cambria Math"/>
                      </w:rPr>
                      <m:t>p</m:t>
                    </m:r>
                  </m:e>
                  <m:sub>
                    <m:r>
                      <w:rPr>
                        <w:rFonts w:ascii="Cambria Math" w:eastAsia="Times New Roman" w:hAnsi="Cambria Math"/>
                      </w:rPr>
                      <m:t>0,0</m:t>
                    </m:r>
                  </m:sub>
                </m:sSub>
                <m:sSubSup>
                  <m:sSubSupPr>
                    <m:ctrlPr>
                      <w:rPr>
                        <w:rFonts w:ascii="Cambria Math" w:eastAsia="Times New Roman" w:hAnsi="Cambria Math"/>
                      </w:rPr>
                    </m:ctrlPr>
                  </m:sSubSupPr>
                  <m:e>
                    <m:r>
                      <w:rPr>
                        <w:rFonts w:ascii="Cambria Math" w:eastAsia="Times New Roman" w:hAnsi="Cambria Math"/>
                      </w:rPr>
                      <m:t>ρ</m:t>
                    </m:r>
                  </m:e>
                  <m:sub>
                    <m:r>
                      <w:rPr>
                        <w:rFonts w:ascii="Cambria Math" w:eastAsia="Times New Roman" w:hAnsi="Cambria Math"/>
                      </w:rPr>
                      <m:t>0</m:t>
                    </m:r>
                  </m:sub>
                  <m:sup>
                    <m:r>
                      <w:rPr>
                        <w:rFonts w:ascii="Cambria Math" w:eastAsia="Times New Roman" w:hAnsi="Cambria Math"/>
                      </w:rPr>
                      <m:t>2</m:t>
                    </m:r>
                  </m:sup>
                </m:sSubSup>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p</m:t>
                    </m:r>
                  </m:e>
                  <m:sub>
                    <m:r>
                      <w:rPr>
                        <w:rFonts w:ascii="Cambria Math" w:eastAsia="Times New Roman" w:hAnsi="Cambria Math"/>
                      </w:rPr>
                      <m:t>1,1</m:t>
                    </m:r>
                  </m:sub>
                </m:sSub>
                <m:sSubSup>
                  <m:sSubSupPr>
                    <m:ctrlPr>
                      <w:rPr>
                        <w:rFonts w:ascii="Cambria Math" w:eastAsia="Times New Roman" w:hAnsi="Cambria Math"/>
                      </w:rPr>
                    </m:ctrlPr>
                  </m:sSubSupPr>
                  <m:e>
                    <m:r>
                      <w:rPr>
                        <w:rFonts w:ascii="Cambria Math" w:eastAsia="Times New Roman" w:hAnsi="Cambria Math"/>
                      </w:rPr>
                      <m:t>ρ</m:t>
                    </m:r>
                  </m:e>
                  <m:sub>
                    <m:r>
                      <w:rPr>
                        <w:rFonts w:ascii="Cambria Math" w:eastAsia="Times New Roman" w:hAnsi="Cambria Math"/>
                      </w:rPr>
                      <m:t>1</m:t>
                    </m:r>
                  </m:sub>
                  <m:sup>
                    <m:r>
                      <w:rPr>
                        <w:rFonts w:ascii="Cambria Math" w:eastAsia="Times New Roman" w:hAnsi="Cambria Math"/>
                      </w:rPr>
                      <m:t>2</m:t>
                    </m:r>
                  </m:sup>
                </m:sSubSup>
                <m:r>
                  <w:rPr>
                    <w:rFonts w:ascii="Cambria Math" w:eastAsia="Times New Roman" w:hAnsi="Cambria Math"/>
                  </w:rPr>
                  <m:t>+[1-</m:t>
                </m:r>
                <m:sSub>
                  <m:sSubPr>
                    <m:ctrlPr>
                      <w:rPr>
                        <w:rFonts w:ascii="Cambria Math" w:eastAsia="Times New Roman" w:hAnsi="Cambria Math"/>
                      </w:rPr>
                    </m:ctrlPr>
                  </m:sSubPr>
                  <m:e>
                    <m:r>
                      <w:rPr>
                        <w:rFonts w:ascii="Cambria Math" w:eastAsia="Times New Roman" w:hAnsi="Cambria Math"/>
                      </w:rPr>
                      <m:t>p</m:t>
                    </m:r>
                  </m:e>
                  <m:sub>
                    <m:r>
                      <w:rPr>
                        <w:rFonts w:ascii="Cambria Math" w:eastAsia="Times New Roman" w:hAnsi="Cambria Math"/>
                      </w:rPr>
                      <m:t>0,0</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p</m:t>
                    </m:r>
                  </m:e>
                  <m:sub>
                    <m:r>
                      <w:rPr>
                        <w:rFonts w:ascii="Cambria Math" w:eastAsia="Times New Roman" w:hAnsi="Cambria Math"/>
                      </w:rPr>
                      <m:t>1,1</m:t>
                    </m:r>
                  </m:sub>
                </m:sSub>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ρ</m:t>
                    </m:r>
                  </m:e>
                  <m:sub>
                    <m:r>
                      <w:rPr>
                        <w:rFonts w:ascii="Cambria Math" w:eastAsia="Times New Roman" w:hAnsi="Cambria Math"/>
                      </w:rPr>
                      <m:t>0</m:t>
                    </m:r>
                  </m:sub>
                  <m:sup>
                    <m:r>
                      <w:rPr>
                        <w:rFonts w:ascii="Cambria Math" w:eastAsia="Times New Roman" w:hAnsi="Cambria Math"/>
                      </w:rPr>
                      <m:t>2</m:t>
                    </m:r>
                  </m:sup>
                </m:sSubSup>
                <m:sSubSup>
                  <m:sSubSupPr>
                    <m:ctrlPr>
                      <w:rPr>
                        <w:rFonts w:ascii="Cambria Math" w:eastAsia="Times New Roman" w:hAnsi="Cambria Math"/>
                      </w:rPr>
                    </m:ctrlPr>
                  </m:sSubSupPr>
                  <m:e>
                    <m:r>
                      <w:rPr>
                        <w:rFonts w:ascii="Cambria Math" w:eastAsia="Times New Roman" w:hAnsi="Cambria Math"/>
                      </w:rPr>
                      <m:t>ρ</m:t>
                    </m:r>
                  </m:e>
                  <m:sub>
                    <m:r>
                      <w:rPr>
                        <w:rFonts w:ascii="Cambria Math" w:eastAsia="Times New Roman" w:hAnsi="Cambria Math"/>
                      </w:rPr>
                      <m:t>1</m:t>
                    </m:r>
                  </m:sub>
                  <m:sup>
                    <m:r>
                      <w:rPr>
                        <w:rFonts w:ascii="Cambria Math" w:eastAsia="Times New Roman" w:hAnsi="Cambria Math"/>
                      </w:rPr>
                      <m:t>2</m:t>
                    </m:r>
                  </m:sup>
                </m:sSubSup>
                <m:r>
                  <w:rPr>
                    <w:rFonts w:ascii="Cambria Math" w:eastAsia="Times New Roman" w:hAnsi="Cambria Math"/>
                  </w:rPr>
                  <m:t>&lt;1,</m:t>
                </m:r>
              </m:e>
              <m:e/>
              <m:e>
                <m:r>
                  <m:rPr>
                    <m:nor/>
                  </m:rPr>
                  <w:rPr>
                    <w:rFonts w:eastAsia="Times New Roman"/>
                  </w:rPr>
                  <m:t>(11)</m:t>
                </m:r>
              </m:e>
            </m:mr>
          </m:m>
          <m:r>
            <m:rPr>
              <m:sty m:val="p"/>
            </m:rPr>
            <w:rPr>
              <w:rFonts w:eastAsia="Times New Roman"/>
            </w:rPr>
            <w:br/>
          </m:r>
        </m:oMath>
        <m:oMath>
          <m:m>
            <m:mPr>
              <m:plcHide m:val="1"/>
              <m:mcs>
                <m:mc>
                  <m:mcPr>
                    <m:count m:val="4"/>
                    <m:mcJc m:val="center"/>
                  </m:mcPr>
                </m:mc>
              </m:mcs>
              <m:ctrlPr>
                <w:rPr>
                  <w:rFonts w:ascii="Cambria Math" w:eastAsia="Times New Roman" w:hAnsi="Cambria Math"/>
                </w:rPr>
              </m:ctrlPr>
            </m:mPr>
            <m:mr>
              <m:e/>
              <m:e>
                <m:sSub>
                  <m:sSubPr>
                    <m:ctrlPr>
                      <w:rPr>
                        <w:rFonts w:ascii="Cambria Math" w:eastAsia="Times New Roman" w:hAnsi="Cambria Math"/>
                      </w:rPr>
                    </m:ctrlPr>
                  </m:sSubPr>
                  <m:e>
                    <m:r>
                      <w:rPr>
                        <w:rFonts w:ascii="Cambria Math" w:eastAsia="Times New Roman" w:hAnsi="Cambria Math"/>
                      </w:rPr>
                      <m:t>p</m:t>
                    </m:r>
                  </m:e>
                  <m:sub>
                    <m:r>
                      <w:rPr>
                        <w:rFonts w:ascii="Cambria Math" w:eastAsia="Times New Roman" w:hAnsi="Cambria Math"/>
                      </w:rPr>
                      <m:t>0,0</m:t>
                    </m:r>
                  </m:sub>
                </m:sSub>
                <m:sSubSup>
                  <m:sSubSupPr>
                    <m:ctrlPr>
                      <w:rPr>
                        <w:rFonts w:ascii="Cambria Math" w:eastAsia="Times New Roman" w:hAnsi="Cambria Math"/>
                      </w:rPr>
                    </m:ctrlPr>
                  </m:sSubSupPr>
                  <m:e>
                    <m:r>
                      <w:rPr>
                        <w:rFonts w:ascii="Cambria Math" w:eastAsia="Times New Roman" w:hAnsi="Cambria Math"/>
                      </w:rPr>
                      <m:t>ρ</m:t>
                    </m:r>
                  </m:e>
                  <m:sub>
                    <m:r>
                      <w:rPr>
                        <w:rFonts w:ascii="Cambria Math" w:eastAsia="Times New Roman" w:hAnsi="Cambria Math"/>
                      </w:rPr>
                      <m:t>0</m:t>
                    </m:r>
                  </m:sub>
                  <m:sup>
                    <m:r>
                      <w:rPr>
                        <w:rFonts w:ascii="Cambria Math" w:eastAsia="Times New Roman" w:hAnsi="Cambria Math"/>
                      </w:rPr>
                      <m:t>2</m:t>
                    </m:r>
                  </m:sup>
                </m:sSubSup>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p</m:t>
                    </m:r>
                  </m:e>
                  <m:sub>
                    <m:r>
                      <w:rPr>
                        <w:rFonts w:ascii="Cambria Math" w:eastAsia="Times New Roman" w:hAnsi="Cambria Math"/>
                      </w:rPr>
                      <m:t>1,1</m:t>
                    </m:r>
                  </m:sub>
                </m:sSub>
                <m:sSubSup>
                  <m:sSubSupPr>
                    <m:ctrlPr>
                      <w:rPr>
                        <w:rFonts w:ascii="Cambria Math" w:eastAsia="Times New Roman" w:hAnsi="Cambria Math"/>
                      </w:rPr>
                    </m:ctrlPr>
                  </m:sSubSupPr>
                  <m:e>
                    <m:r>
                      <w:rPr>
                        <w:rFonts w:ascii="Cambria Math" w:eastAsia="Times New Roman" w:hAnsi="Cambria Math"/>
                      </w:rPr>
                      <m:t>ρ</m:t>
                    </m:r>
                  </m:e>
                  <m:sub>
                    <m:r>
                      <w:rPr>
                        <w:rFonts w:ascii="Cambria Math" w:eastAsia="Times New Roman" w:hAnsi="Cambria Math"/>
                      </w:rPr>
                      <m:t>1</m:t>
                    </m:r>
                  </m:sub>
                  <m:sup>
                    <m:r>
                      <w:rPr>
                        <w:rFonts w:ascii="Cambria Math" w:eastAsia="Times New Roman" w:hAnsi="Cambria Math"/>
                      </w:rPr>
                      <m:t>2</m:t>
                    </m:r>
                  </m:sup>
                </m:sSubSup>
                <m:r>
                  <w:rPr>
                    <w:rFonts w:ascii="Cambria Math" w:eastAsia="Times New Roman" w:hAnsi="Cambria Math"/>
                  </w:rPr>
                  <m:t>&lt;2.</m:t>
                </m:r>
              </m:e>
              <m:e/>
              <m:e>
                <m:r>
                  <m:rPr>
                    <m:nor/>
                  </m:rPr>
                  <w:rPr>
                    <w:rFonts w:eastAsia="Times New Roman"/>
                  </w:rPr>
                  <m:t>(12)</m:t>
                </m:r>
              </m:e>
            </m:mr>
          </m:m>
        </m:oMath>
      </m:oMathPara>
    </w:p>
    <w:p w14:paraId="3E2F00C6" w14:textId="77777777" w:rsidR="005B2745" w:rsidRDefault="001058BE" w:rsidP="0073265E">
      <w:pPr>
        <w:spacing w:before="100" w:beforeAutospacing="1" w:after="100" w:afterAutospacing="1"/>
        <w:jc w:val="both"/>
        <w:rPr>
          <w:rFonts w:eastAsia="Times New Roman"/>
        </w:rPr>
      </w:pPr>
      <w:r w:rsidRPr="0073265E">
        <w:rPr>
          <w:rFonts w:eastAsia="Times New Roman"/>
        </w:rPr>
        <w:t xml:space="preserve">Even if each regime is locally stationary, these inequalities may fail, implying that the overall current account process is globally non-stationary. </w:t>
      </w:r>
    </w:p>
    <w:p w14:paraId="0A381409" w14:textId="77777777" w:rsidR="005B2745" w:rsidRPr="005B2745" w:rsidRDefault="005B2745" w:rsidP="005B2745">
      <w:pPr>
        <w:jc w:val="both"/>
        <w:rPr>
          <w:rFonts w:eastAsia="Times New Roman"/>
        </w:rPr>
      </w:pPr>
      <w:r w:rsidRPr="005B2745">
        <w:rPr>
          <w:rFonts w:eastAsia="Times New Roman"/>
        </w:rPr>
        <w:t>In economic terms, current account balances may exhibit mean reversion within each regime, but frequent switching between regimes can offset this local stability. In such cases, the series does not converge in distribution over the long run. Global stationarity therefore imposes a stronger requirement than local stationarity within regimes.</w:t>
      </w:r>
    </w:p>
    <w:p w14:paraId="42ADD58A" w14:textId="48BB45F3" w:rsidR="005B2745" w:rsidRPr="005B2745" w:rsidRDefault="58085007" w:rsidP="005B2745">
      <w:pPr>
        <w:jc w:val="both"/>
        <w:rPr>
          <w:rFonts w:eastAsia="Times New Roman"/>
        </w:rPr>
      </w:pPr>
      <w:r w:rsidRPr="58085007">
        <w:rPr>
          <w:rFonts w:eastAsia="Times New Roman"/>
        </w:rPr>
        <w:lastRenderedPageBreak/>
        <w:t>This distinction has a direct interpretation within the intertemporal framework. External sustainability does not require that the current account always be stable. Instead, it requires that periods of instability be sufficiently infrequent or short lived so that corrective dynamics dominate over the long run. The same logic underlies the Bohn-style sustainability criterion discussed in Section 2, which emphasizes stabilizing feedback rather than the absence of short-run divergence.</w:t>
      </w:r>
    </w:p>
    <w:p w14:paraId="6A999EED" w14:textId="4472361B" w:rsidR="00935EAC" w:rsidRPr="0073265E" w:rsidRDefault="58085007" w:rsidP="0073265E">
      <w:pPr>
        <w:jc w:val="both"/>
        <w:rPr>
          <w:rFonts w:eastAsia="Times New Roman"/>
        </w:rPr>
      </w:pPr>
      <w:r w:rsidRPr="58085007">
        <w:rPr>
          <w:rFonts w:eastAsia="Times New Roman"/>
        </w:rPr>
        <w:t>The Markov switching model provides a way to reconcile these theoretical requirements with the empirical reality of current account dynamics. By allowing the current account to alternate between stationary, unit root, and explosive regimes, the model accommodates episodes of rapid divergence alongside periods of adjustment. What matters for sustainability is not whether explosive regimes occur, but how persistent they are and how quickly the process returns to more stable dynamics.</w:t>
      </w:r>
    </w:p>
    <w:p w14:paraId="2272D7DF" w14:textId="2C226169" w:rsidR="00935EAC" w:rsidRPr="0073265E" w:rsidRDefault="00935EAC" w:rsidP="0073265E">
      <w:pPr>
        <w:jc w:val="both"/>
        <w:rPr>
          <w:rFonts w:eastAsia="Times New Roman"/>
        </w:rPr>
      </w:pPr>
      <w:r w:rsidRPr="0073265E">
        <w:rPr>
          <w:rFonts w:eastAsia="Times New Roman"/>
        </w:rPr>
        <w:t xml:space="preserve">Global stationarity in this framework has a direct theoretical interpretation. When the combined effect of persistence within each regime and the probability of remaining in those regimes satisfies the Psaradakis et al. </w:t>
      </w:r>
      <w:r w:rsidR="006452B5" w:rsidRPr="0073265E">
        <w:rPr>
          <w:rFonts w:eastAsia="Times New Roman"/>
        </w:rPr>
        <w:t>(2004)</w:t>
      </w:r>
      <w:r w:rsidR="006452B5">
        <w:rPr>
          <w:rFonts w:eastAsia="Times New Roman"/>
        </w:rPr>
        <w:t xml:space="preserve"> </w:t>
      </w:r>
      <w:r w:rsidRPr="0073265E">
        <w:rPr>
          <w:rFonts w:eastAsia="Times New Roman"/>
        </w:rPr>
        <w:t xml:space="preserve">conditions, the overall process behaves in a way that is compatible with the </w:t>
      </w:r>
      <w:r w:rsidRPr="00935EAC">
        <w:rPr>
          <w:rFonts w:eastAsia="Times New Roman"/>
        </w:rPr>
        <w:t>long-term</w:t>
      </w:r>
      <w:r w:rsidRPr="0073265E">
        <w:rPr>
          <w:rFonts w:eastAsia="Times New Roman"/>
        </w:rPr>
        <w:t xml:space="preserve"> budget constraint. This means that even if the current account occasionally enters an explosive regime, the system does not drift indefinitely away from equilibrium. The </w:t>
      </w:r>
      <w:commentRangeStart w:id="7"/>
      <w:r w:rsidRPr="0073265E">
        <w:rPr>
          <w:rFonts w:eastAsia="Times New Roman"/>
        </w:rPr>
        <w:t>Bohn</w:t>
      </w:r>
      <w:commentRangeEnd w:id="7"/>
      <w:r w:rsidR="006452B5" w:rsidRPr="0073265E">
        <w:rPr>
          <w:rStyle w:val="CommentReference"/>
          <w:rFonts w:eastAsia="Times New Roman"/>
          <w:sz w:val="24"/>
          <w:szCs w:val="22"/>
        </w:rPr>
        <w:commentReference w:id="7"/>
      </w:r>
      <w:r w:rsidRPr="0073265E">
        <w:rPr>
          <w:rFonts w:eastAsia="Times New Roman"/>
        </w:rPr>
        <w:t>-type sustainability logic is naturally embedded here: the model allows the current account to react differently to the accumulation of external positions across regimes, and global stationarity requires a sufficiently strong corrective mechanism over the long run.</w:t>
      </w:r>
    </w:p>
    <w:p w14:paraId="2AD03D76" w14:textId="0007546E" w:rsidR="00935EAC" w:rsidRDefault="58085007" w:rsidP="0073265E">
      <w:pPr>
        <w:jc w:val="both"/>
        <w:rPr>
          <w:rFonts w:eastAsia="Times New Roman"/>
        </w:rPr>
      </w:pPr>
      <w:r w:rsidRPr="58085007">
        <w:rPr>
          <w:rFonts w:eastAsia="Times New Roman"/>
        </w:rPr>
        <w:t>In this sense, the Markov switching approach does more than simply classify regimes: it offers a rigorous way to assess whether the observed behavior of the current account is consistent with the theoretical foundations of external sustainability. It captures the fact that countries live through structural change, crises, and adjustments while still being subject to the intertemporal budget constraint that governs their long-run external position.</w:t>
      </w:r>
    </w:p>
    <w:p w14:paraId="1698D894" w14:textId="5EB4F434" w:rsidR="00E629A1" w:rsidRDefault="58085007" w:rsidP="002B2EA0">
      <w:pPr>
        <w:spacing w:after="0"/>
        <w:rPr>
          <w:rFonts w:eastAsia="Times New Roman"/>
          <w:b/>
          <w:bCs/>
        </w:rPr>
      </w:pPr>
      <w:r w:rsidRPr="58085007">
        <w:rPr>
          <w:rFonts w:eastAsia="Times New Roman"/>
          <w:b/>
          <w:bCs/>
        </w:rPr>
        <w:t>4 Results from the Markov switching Unit Root Model</w:t>
      </w:r>
    </w:p>
    <w:p w14:paraId="13332731" w14:textId="77777777" w:rsidR="005B2745" w:rsidRDefault="005B2745" w:rsidP="005B2745">
      <w:pPr>
        <w:spacing w:after="0"/>
        <w:rPr>
          <w:rFonts w:eastAsia="Times New Roman"/>
        </w:rPr>
      </w:pPr>
    </w:p>
    <w:p w14:paraId="7136AAC1" w14:textId="05E56856" w:rsidR="005B2745" w:rsidRDefault="58085007" w:rsidP="005B2745">
      <w:pPr>
        <w:spacing w:after="0"/>
        <w:rPr>
          <w:rFonts w:eastAsia="Times New Roman"/>
        </w:rPr>
      </w:pPr>
      <w:r w:rsidRPr="58085007">
        <w:rPr>
          <w:rFonts w:eastAsia="Times New Roman"/>
        </w:rPr>
        <w:t>This section presents the results from the Markov switching unit root model described in Section 3. The analysis characterizes current account dynamics in terms of stationary, unit root, and explosive regimes. Our focus is on the prevalence of each regime, cross-country heterogeneity, and their evolution over time.</w:t>
      </w:r>
    </w:p>
    <w:p w14:paraId="28ED1112" w14:textId="77777777" w:rsidR="005B2745" w:rsidRPr="005B2745" w:rsidRDefault="005B2745" w:rsidP="005B2745">
      <w:pPr>
        <w:spacing w:after="0"/>
        <w:rPr>
          <w:rFonts w:eastAsia="Times New Roman"/>
        </w:rPr>
      </w:pPr>
    </w:p>
    <w:p w14:paraId="5941A9F8" w14:textId="675DC099" w:rsidR="005B2745" w:rsidRPr="005B2745" w:rsidRDefault="3F82F0DF" w:rsidP="005B2745">
      <w:pPr>
        <w:spacing w:after="0"/>
        <w:rPr>
          <w:rFonts w:eastAsia="Times New Roman"/>
        </w:rPr>
      </w:pPr>
      <w:r w:rsidRPr="3F82F0DF">
        <w:rPr>
          <w:rFonts w:eastAsia="Times New Roman"/>
        </w:rPr>
        <w:t>We begin by documenting the distribution of regime classifications across countries and periods. We then examine how regime frequencies differ by income group and region. Finally, we analyze the time variation in regime shares and discuss the implications for the second stage analysis of persistence determinants.</w:t>
      </w:r>
    </w:p>
    <w:p w14:paraId="1D1A3A80" w14:textId="77777777" w:rsidR="005B2745" w:rsidRDefault="005B2745" w:rsidP="002B2EA0">
      <w:pPr>
        <w:spacing w:after="0"/>
        <w:rPr>
          <w:rFonts w:eastAsia="Times New Roman"/>
          <w:b/>
          <w:bCs/>
        </w:rPr>
      </w:pPr>
    </w:p>
    <w:p w14:paraId="68DE2B47" w14:textId="3DD8AF52" w:rsidR="00B51AE5" w:rsidRDefault="00B51AE5" w:rsidP="002B2EA0">
      <w:pPr>
        <w:spacing w:after="0"/>
        <w:jc w:val="both"/>
        <w:rPr>
          <w:rFonts w:eastAsia="Times New Roman"/>
          <w:b/>
          <w:bCs/>
        </w:rPr>
      </w:pPr>
      <w:r w:rsidRPr="002B2EA0">
        <w:rPr>
          <w:rFonts w:eastAsia="Times New Roman"/>
          <w:b/>
          <w:bCs/>
        </w:rPr>
        <w:t>4.1 Distribution of Regime Classifications</w:t>
      </w:r>
    </w:p>
    <w:p w14:paraId="06C529BD" w14:textId="7367495C" w:rsidR="00B51AE5" w:rsidRDefault="00B51AE5" w:rsidP="00B51AE5">
      <w:pPr>
        <w:jc w:val="center"/>
        <w:rPr>
          <w:rFonts w:eastAsia="Times New Roman"/>
          <w:b/>
          <w:bCs/>
        </w:rPr>
      </w:pPr>
      <w:r>
        <w:rPr>
          <w:noProof/>
          <w14:ligatures w14:val="standardContextual"/>
        </w:rPr>
        <w:lastRenderedPageBreak/>
        <w:drawing>
          <wp:inline distT="0" distB="0" distL="0" distR="0" wp14:anchorId="5C7654EB" wp14:editId="42A49702">
            <wp:extent cx="4572396" cy="3048264"/>
            <wp:effectExtent l="0" t="0" r="0" b="0"/>
            <wp:docPr id="3" name="Picture 2">
              <a:extLst xmlns:a="http://schemas.openxmlformats.org/drawingml/2006/main">
                <a:ext uri="{FF2B5EF4-FFF2-40B4-BE49-F238E27FC236}">
                  <a16:creationId xmlns:a16="http://schemas.microsoft.com/office/drawing/2014/main" id="{C3B69D69-7896-8D55-08C6-891E7798CA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C3B69D69-7896-8D55-08C6-891E7798CA1F}"/>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4572396" cy="3048264"/>
                    </a:xfrm>
                    <a:prstGeom prst="rect">
                      <a:avLst/>
                    </a:prstGeom>
                  </pic:spPr>
                </pic:pic>
              </a:graphicData>
            </a:graphic>
          </wp:inline>
        </w:drawing>
      </w:r>
    </w:p>
    <w:p w14:paraId="488463AC" w14:textId="5D7CA982" w:rsidR="00B51AE5" w:rsidRDefault="58085007" w:rsidP="58085007">
      <w:pPr>
        <w:spacing w:before="100" w:beforeAutospacing="1" w:after="100" w:afterAutospacing="1" w:line="276" w:lineRule="auto"/>
        <w:jc w:val="center"/>
        <w:rPr>
          <w:rFonts w:eastAsia="Times New Roman" w:cs="Times New Roman"/>
          <w:b/>
          <w:bCs/>
          <w:spacing w:val="-2"/>
        </w:rPr>
      </w:pPr>
      <w:r w:rsidRPr="58085007">
        <w:rPr>
          <w:b/>
          <w:bCs/>
        </w:rPr>
        <w:t xml:space="preserve">Figure 5. Markov </w:t>
      </w:r>
      <w:r w:rsidR="00D15B87">
        <w:rPr>
          <w:b/>
          <w:bCs/>
        </w:rPr>
        <w:t>S</w:t>
      </w:r>
      <w:r w:rsidRPr="58085007">
        <w:rPr>
          <w:b/>
          <w:bCs/>
        </w:rPr>
        <w:t>witching Unit Root Results</w:t>
      </w:r>
    </w:p>
    <w:p w14:paraId="0EE292E8" w14:textId="77777777" w:rsidR="00B51AE5" w:rsidRPr="002B2EA0" w:rsidRDefault="00B51AE5" w:rsidP="002B2EA0">
      <w:pPr>
        <w:jc w:val="center"/>
        <w:rPr>
          <w:rFonts w:eastAsia="Times New Roman"/>
          <w:b/>
          <w:bCs/>
        </w:rPr>
      </w:pPr>
    </w:p>
    <w:p w14:paraId="64249996" w14:textId="0F9B02EE" w:rsidR="00B51AE5" w:rsidRPr="00B51AE5" w:rsidRDefault="3F82F0DF" w:rsidP="00B51AE5">
      <w:pPr>
        <w:jc w:val="both"/>
        <w:rPr>
          <w:rFonts w:eastAsia="Times New Roman"/>
        </w:rPr>
      </w:pPr>
      <w:r w:rsidRPr="3F82F0DF">
        <w:rPr>
          <w:rFonts w:eastAsia="Times New Roman"/>
        </w:rPr>
        <w:t>Figure 5 presents the regime classifications across the full sample. Using quarterly observations, we summarize the frequency of stationary, unit root, and explosive regimes across countries and over time. This provides a baseline characterization of current account dynamics before turning to cross-country and temporal heterogeneity.</w:t>
      </w:r>
    </w:p>
    <w:p w14:paraId="03F55E16" w14:textId="6C6AC06E" w:rsidR="00B51AE5" w:rsidRPr="00B51AE5" w:rsidRDefault="00B51AE5" w:rsidP="00B51AE5">
      <w:pPr>
        <w:jc w:val="both"/>
        <w:rPr>
          <w:rFonts w:eastAsia="Times New Roman"/>
        </w:rPr>
      </w:pPr>
      <w:r w:rsidRPr="00B51AE5">
        <w:rPr>
          <w:rFonts w:eastAsia="Times New Roman"/>
        </w:rPr>
        <w:t>Across all countries and quarters, the unit root regime is the most prevalent state, accounting for approximately 57 percent of observations. The stationary regime comprises roughly 38 percent of the sample, while explosive episodes represent about 5 percent of observations.</w:t>
      </w:r>
    </w:p>
    <w:p w14:paraId="34BB33EC" w14:textId="56926FE2" w:rsidR="00B51AE5" w:rsidRPr="00B51AE5" w:rsidRDefault="00B51AE5" w:rsidP="00B51AE5">
      <w:pPr>
        <w:jc w:val="both"/>
        <w:rPr>
          <w:rFonts w:eastAsia="Times New Roman"/>
        </w:rPr>
      </w:pPr>
      <w:r w:rsidRPr="00B51AE5">
        <w:rPr>
          <w:rFonts w:eastAsia="Times New Roman"/>
        </w:rPr>
        <w:t>These results indicate that current account balances most commonly exhibit highly persistent dynamics consistent with near-unit-root behavior. Nonetheless, a substantial fraction of observations fall into the stationary regime, indicating economically meaningful mean reversion in a nontrivial portion of the sample. Explosive dynamics are comparatively rare but clearly present, justifying the use of a nonlinear framework rather than imposing global stationarity.</w:t>
      </w:r>
    </w:p>
    <w:p w14:paraId="2A4A8A7C" w14:textId="0CC3A780" w:rsidR="00E629A1" w:rsidRDefault="00B51AE5" w:rsidP="00B51AE5">
      <w:pPr>
        <w:jc w:val="both"/>
        <w:rPr>
          <w:rFonts w:eastAsia="Times New Roman"/>
        </w:rPr>
      </w:pPr>
      <w:r w:rsidRPr="00B51AE5">
        <w:rPr>
          <w:rFonts w:eastAsia="Times New Roman"/>
        </w:rPr>
        <w:t>The relatively low frequency of explosive states suggests that such episodes are episodic rather than representative of typical behavior, potentially corresponding to periods of macroeconomic stress or adjustment.</w:t>
      </w:r>
    </w:p>
    <w:p w14:paraId="1D7A3060" w14:textId="386D703D" w:rsidR="00B51AE5" w:rsidRDefault="00B51AE5" w:rsidP="00B51AE5">
      <w:pPr>
        <w:jc w:val="both"/>
        <w:rPr>
          <w:rFonts w:eastAsia="Times New Roman"/>
          <w:b/>
          <w:bCs/>
        </w:rPr>
      </w:pPr>
      <w:r w:rsidRPr="00842959">
        <w:rPr>
          <w:rFonts w:eastAsia="Times New Roman"/>
          <w:b/>
          <w:bCs/>
        </w:rPr>
        <w:t>4.</w:t>
      </w:r>
      <w:r>
        <w:rPr>
          <w:rFonts w:eastAsia="Times New Roman"/>
          <w:b/>
          <w:bCs/>
        </w:rPr>
        <w:t>2</w:t>
      </w:r>
      <w:r w:rsidRPr="00842959">
        <w:rPr>
          <w:rFonts w:eastAsia="Times New Roman"/>
          <w:b/>
          <w:bCs/>
        </w:rPr>
        <w:t xml:space="preserve"> </w:t>
      </w:r>
      <w:r w:rsidRPr="00B51AE5">
        <w:rPr>
          <w:rFonts w:eastAsia="Times New Roman"/>
          <w:b/>
          <w:bCs/>
        </w:rPr>
        <w:t>Cross-Country Heterogeneity</w:t>
      </w:r>
    </w:p>
    <w:p w14:paraId="0DD1951D" w14:textId="13AA86C3" w:rsidR="00B51AE5" w:rsidRDefault="00B51AE5" w:rsidP="00B51AE5">
      <w:pPr>
        <w:jc w:val="both"/>
        <w:rPr>
          <w:rFonts w:eastAsia="Times New Roman"/>
          <w:b/>
          <w:bCs/>
        </w:rPr>
      </w:pPr>
      <w:r>
        <w:rPr>
          <w:noProof/>
          <w14:ligatures w14:val="standardContextual"/>
        </w:rPr>
        <w:lastRenderedPageBreak/>
        <w:drawing>
          <wp:inline distT="0" distB="0" distL="0" distR="0" wp14:anchorId="10009A8B" wp14:editId="3B22480B">
            <wp:extent cx="6400800" cy="3470275"/>
            <wp:effectExtent l="0" t="0" r="0" b="0"/>
            <wp:docPr id="2" name="Picture 1">
              <a:extLst xmlns:a="http://schemas.openxmlformats.org/drawingml/2006/main">
                <a:ext uri="{FF2B5EF4-FFF2-40B4-BE49-F238E27FC236}">
                  <a16:creationId xmlns:a16="http://schemas.microsoft.com/office/drawing/2014/main" id="{A60BCE5E-6FC3-1318-9C5C-BF36BC74C8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A60BCE5E-6FC3-1318-9C5C-BF36BC74C8B4}"/>
                        </a:ext>
                      </a:extLst>
                    </pic:cNvPr>
                    <pic:cNvPicPr>
                      <a:picLocks noChangeAspect="1"/>
                    </pic:cNvPicPr>
                  </pic:nvPicPr>
                  <pic:blipFill>
                    <a:blip r:embed="rId17"/>
                    <a:stretch>
                      <a:fillRect/>
                    </a:stretch>
                  </pic:blipFill>
                  <pic:spPr>
                    <a:xfrm>
                      <a:off x="0" y="0"/>
                      <a:ext cx="6400800" cy="3470275"/>
                    </a:xfrm>
                    <a:prstGeom prst="rect">
                      <a:avLst/>
                    </a:prstGeom>
                  </pic:spPr>
                </pic:pic>
              </a:graphicData>
            </a:graphic>
          </wp:inline>
        </w:drawing>
      </w:r>
    </w:p>
    <w:p w14:paraId="0B0CAB7A" w14:textId="469542BA" w:rsidR="00B51AE5" w:rsidRDefault="58085007" w:rsidP="00D15B87">
      <w:pPr>
        <w:spacing w:before="100" w:beforeAutospacing="1" w:after="100" w:afterAutospacing="1" w:line="276" w:lineRule="auto"/>
        <w:jc w:val="center"/>
        <w:rPr>
          <w:rFonts w:eastAsia="Times New Roman" w:cs="Times New Roman"/>
          <w:b/>
          <w:bCs/>
          <w:spacing w:val="-2"/>
        </w:rPr>
      </w:pPr>
      <w:r w:rsidRPr="58085007">
        <w:rPr>
          <w:b/>
          <w:bCs/>
        </w:rPr>
        <w:t xml:space="preserve">Figure 6. Country Group Markov </w:t>
      </w:r>
      <w:r w:rsidR="00D15B87">
        <w:rPr>
          <w:b/>
          <w:bCs/>
        </w:rPr>
        <w:t>S</w:t>
      </w:r>
      <w:r w:rsidRPr="58085007">
        <w:rPr>
          <w:b/>
          <w:bCs/>
        </w:rPr>
        <w:t>witching Unit Root Results</w:t>
      </w:r>
    </w:p>
    <w:p w14:paraId="316A6F7F" w14:textId="44AFB99D" w:rsidR="00B51AE5" w:rsidRPr="002B2EA0" w:rsidRDefault="005B2745" w:rsidP="00B51AE5">
      <w:pPr>
        <w:jc w:val="both"/>
        <w:rPr>
          <w:rFonts w:eastAsia="Times New Roman"/>
        </w:rPr>
      </w:pPr>
      <w:r w:rsidRPr="005B2745">
        <w:rPr>
          <w:rFonts w:eastAsia="Times New Roman"/>
        </w:rPr>
        <w:t>We next examine how regime frequencies vary across countries and groups. To highlight systematic differences, we disaggregate the results by income level and region. This comparison reveals how the prevalence of stationary, unit root, and explosive dynamics differs across stages of development and institutional environments</w:t>
      </w:r>
      <w:r w:rsidR="00B51AE5" w:rsidRPr="002B2EA0">
        <w:rPr>
          <w:rFonts w:eastAsia="Times New Roman"/>
        </w:rPr>
        <w:t>.</w:t>
      </w:r>
    </w:p>
    <w:p w14:paraId="5B443247" w14:textId="77777777" w:rsidR="00B51AE5" w:rsidRPr="002B2EA0" w:rsidRDefault="00B51AE5" w:rsidP="00B51AE5">
      <w:pPr>
        <w:jc w:val="both"/>
        <w:rPr>
          <w:rFonts w:eastAsia="Times New Roman"/>
        </w:rPr>
      </w:pPr>
      <w:r w:rsidRPr="002B2EA0">
        <w:rPr>
          <w:rFonts w:eastAsia="Times New Roman"/>
        </w:rPr>
        <w:t>Industrialized economies exhibit a high prevalence of unit root behavior (53.9 percent) and a substantial stationary component (44.9 percent), with explosive episodes accounting for only 1.2 percent of observations. Explosive dynamics are therefore extremely rare among advanced economies.</w:t>
      </w:r>
    </w:p>
    <w:p w14:paraId="6249B125" w14:textId="77777777" w:rsidR="00B51AE5" w:rsidRPr="002B2EA0" w:rsidRDefault="00B51AE5" w:rsidP="00B51AE5">
      <w:pPr>
        <w:jc w:val="both"/>
        <w:rPr>
          <w:rFonts w:eastAsia="Times New Roman"/>
        </w:rPr>
      </w:pPr>
      <w:r w:rsidRPr="002B2EA0">
        <w:rPr>
          <w:rFonts w:eastAsia="Times New Roman"/>
        </w:rPr>
        <w:t>Emerging markets display greater instability. While unit root behavior remains dominant (55.9 percent), explosive episodes rise to 11.6 percent of observations. Less developed economies show a similar pattern, with 59.4 percent unit root and 8.3 percent explosive classifications.</w:t>
      </w:r>
    </w:p>
    <w:p w14:paraId="401DD319" w14:textId="77777777" w:rsidR="00B51AE5" w:rsidRPr="002B2EA0" w:rsidRDefault="00B51AE5" w:rsidP="00B51AE5">
      <w:pPr>
        <w:jc w:val="both"/>
        <w:rPr>
          <w:rFonts w:eastAsia="Times New Roman"/>
        </w:rPr>
      </w:pPr>
      <w:r w:rsidRPr="002B2EA0">
        <w:rPr>
          <w:rFonts w:eastAsia="Times New Roman"/>
        </w:rPr>
        <w:t>Regional heterogeneity is also evident. Latin American economies exhibit the highest share of unit root behavior (62.0 percent) among reported groupings, while East Asian economies display a comparatively larger stationary component (45.2 percent). Euro area countries are characterized by dominant unit root behavior (58.8 percent) and minimal explosive episodes (2.7 percent).</w:t>
      </w:r>
    </w:p>
    <w:p w14:paraId="53384D2F" w14:textId="77777777" w:rsidR="00B51AE5" w:rsidRPr="002B2EA0" w:rsidRDefault="00B51AE5" w:rsidP="00B51AE5">
      <w:pPr>
        <w:jc w:val="both"/>
        <w:rPr>
          <w:rFonts w:eastAsia="Times New Roman"/>
        </w:rPr>
      </w:pPr>
      <w:r w:rsidRPr="002B2EA0">
        <w:rPr>
          <w:rFonts w:eastAsia="Times New Roman"/>
        </w:rPr>
        <w:t>Taken together, these patterns indicate that regime dynamics are not uniform across country types. More developed economies tend to experience fewer explosive episodes, while emerging and developing economies exhibit greater exposure to explosive dynamics.</w:t>
      </w:r>
    </w:p>
    <w:p w14:paraId="115D8CCA" w14:textId="2C9FC6E1" w:rsidR="00B51AE5" w:rsidRDefault="00B51AE5" w:rsidP="002B2EA0">
      <w:pPr>
        <w:spacing w:after="0"/>
        <w:jc w:val="both"/>
        <w:rPr>
          <w:rFonts w:eastAsia="Times New Roman"/>
          <w:b/>
          <w:bCs/>
        </w:rPr>
      </w:pPr>
      <w:r w:rsidRPr="00842959">
        <w:rPr>
          <w:rFonts w:eastAsia="Times New Roman"/>
          <w:b/>
          <w:bCs/>
        </w:rPr>
        <w:t>4.</w:t>
      </w:r>
      <w:r>
        <w:rPr>
          <w:rFonts w:eastAsia="Times New Roman"/>
          <w:b/>
          <w:bCs/>
        </w:rPr>
        <w:t>3</w:t>
      </w:r>
      <w:r w:rsidRPr="00842959">
        <w:rPr>
          <w:rFonts w:eastAsia="Times New Roman"/>
          <w:b/>
          <w:bCs/>
        </w:rPr>
        <w:t xml:space="preserve"> </w:t>
      </w:r>
      <w:r w:rsidR="00B360FA" w:rsidRPr="00B360FA">
        <w:rPr>
          <w:rFonts w:eastAsia="Times New Roman"/>
          <w:b/>
          <w:bCs/>
        </w:rPr>
        <w:t>Time Evolution of Regimes</w:t>
      </w:r>
    </w:p>
    <w:p w14:paraId="250517C2" w14:textId="7DA4C5DA" w:rsidR="00B360FA" w:rsidRPr="002B2EA0" w:rsidRDefault="003D0EB9" w:rsidP="00B360FA">
      <w:pPr>
        <w:jc w:val="both"/>
        <w:rPr>
          <w:rFonts w:eastAsia="Times New Roman"/>
        </w:rPr>
      </w:pPr>
      <w:r w:rsidRPr="003D0EB9">
        <w:rPr>
          <w:rFonts w:eastAsia="Times New Roman"/>
        </w:rPr>
        <w:lastRenderedPageBreak/>
        <w:t xml:space="preserve">We then analyze the evolution of regime shares over time. This perspective allows us to assess whether changes in current account dynamics are concentrated in specific periods or broadly distributed across the sample. Examining the timing of regime shifts provides additional insight into the episodic nature of explosive and highly persistent dynamics. </w:t>
      </w:r>
      <w:r w:rsidR="00B360FA" w:rsidRPr="002B2EA0">
        <w:rPr>
          <w:rFonts w:eastAsia="Times New Roman"/>
        </w:rPr>
        <w:t>The unit root regime remains the modal state throughout the sample period. The stationary share fluctuates cyclically but persists at economically meaningful levels. Explosive regimes appear intermittently and cluster in specific subperiods rather than being evenly distributed across time.</w:t>
      </w:r>
    </w:p>
    <w:p w14:paraId="56389D9E" w14:textId="29EB0B32" w:rsidR="00B360FA" w:rsidRPr="002B2EA0" w:rsidRDefault="00B360FA" w:rsidP="00B51AE5">
      <w:pPr>
        <w:jc w:val="both"/>
        <w:rPr>
          <w:rFonts w:eastAsia="Times New Roman"/>
        </w:rPr>
      </w:pPr>
      <w:r w:rsidRPr="002B2EA0">
        <w:rPr>
          <w:rFonts w:eastAsia="Times New Roman"/>
        </w:rPr>
        <w:t>This temporal concentration supports the interpretation that explosive states correspond to discrete adjustment episodes rather than persistent structural features of external balances.</w:t>
      </w:r>
    </w:p>
    <w:p w14:paraId="1AA923BD" w14:textId="42122E61" w:rsidR="00B51AE5" w:rsidRPr="0073265E" w:rsidRDefault="00B360FA" w:rsidP="00B51AE5">
      <w:pPr>
        <w:jc w:val="both"/>
        <w:rPr>
          <w:rFonts w:eastAsia="Times New Roman"/>
        </w:rPr>
      </w:pPr>
      <w:r>
        <w:rPr>
          <w:noProof/>
          <w14:ligatures w14:val="standardContextual"/>
        </w:rPr>
        <w:drawing>
          <wp:inline distT="0" distB="0" distL="0" distR="0" wp14:anchorId="4E8A121C" wp14:editId="35CEC844">
            <wp:extent cx="6400800" cy="2534285"/>
            <wp:effectExtent l="0" t="0" r="0" b="0"/>
            <wp:docPr id="1478811442" name="Picture 2">
              <a:extLst xmlns:a="http://schemas.openxmlformats.org/drawingml/2006/main">
                <a:ext uri="{FF2B5EF4-FFF2-40B4-BE49-F238E27FC236}">
                  <a16:creationId xmlns:a16="http://schemas.microsoft.com/office/drawing/2014/main" id="{41CC7E31-8A7E-BAD1-1781-8A1E6DB479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41CC7E31-8A7E-BAD1-1781-8A1E6DB479EB}"/>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400800" cy="2534285"/>
                    </a:xfrm>
                    <a:prstGeom prst="rect">
                      <a:avLst/>
                    </a:prstGeom>
                    <a:noFill/>
                  </pic:spPr>
                </pic:pic>
              </a:graphicData>
            </a:graphic>
          </wp:inline>
        </w:drawing>
      </w:r>
    </w:p>
    <w:p w14:paraId="2FD95F52" w14:textId="5592A58F" w:rsidR="00B360FA" w:rsidRDefault="00B360FA" w:rsidP="00D15B87">
      <w:pPr>
        <w:spacing w:before="100" w:beforeAutospacing="1" w:after="100" w:afterAutospacing="1" w:line="276" w:lineRule="auto"/>
        <w:jc w:val="center"/>
        <w:rPr>
          <w:b/>
          <w:bCs/>
          <w:szCs w:val="24"/>
        </w:rPr>
      </w:pPr>
      <w:r w:rsidRPr="0073265E">
        <w:rPr>
          <w:b/>
          <w:bCs/>
          <w:szCs w:val="24"/>
        </w:rPr>
        <w:t xml:space="preserve">Figure </w:t>
      </w:r>
      <w:r>
        <w:rPr>
          <w:b/>
          <w:bCs/>
          <w:szCs w:val="24"/>
        </w:rPr>
        <w:t>7. Persistence Regimes Over Time</w:t>
      </w:r>
    </w:p>
    <w:p w14:paraId="44CFD89D" w14:textId="541902FC" w:rsidR="000A67C2" w:rsidRDefault="00437778" w:rsidP="002B2EA0">
      <w:pPr>
        <w:spacing w:after="0"/>
        <w:jc w:val="both"/>
        <w:rPr>
          <w:rFonts w:eastAsia="Times New Roman"/>
          <w:b/>
          <w:bCs/>
        </w:rPr>
      </w:pPr>
      <w:r w:rsidRPr="00842959">
        <w:rPr>
          <w:rFonts w:eastAsia="Times New Roman"/>
          <w:b/>
          <w:bCs/>
        </w:rPr>
        <w:t>4.</w:t>
      </w:r>
      <w:r>
        <w:rPr>
          <w:rFonts w:eastAsia="Times New Roman"/>
          <w:b/>
          <w:bCs/>
        </w:rPr>
        <w:t>4</w:t>
      </w:r>
      <w:r w:rsidRPr="00842959">
        <w:rPr>
          <w:rFonts w:eastAsia="Times New Roman"/>
          <w:b/>
          <w:bCs/>
        </w:rPr>
        <w:t xml:space="preserve"> </w:t>
      </w:r>
      <w:r w:rsidR="000A67C2">
        <w:rPr>
          <w:rFonts w:eastAsia="Times New Roman"/>
          <w:b/>
          <w:bCs/>
        </w:rPr>
        <w:t xml:space="preserve">Global Stationarity </w:t>
      </w:r>
    </w:p>
    <w:p w14:paraId="5D668F3E" w14:textId="22DA1EFC" w:rsidR="000A67C2" w:rsidRDefault="000A67C2" w:rsidP="000A67C2">
      <w:pPr>
        <w:spacing w:after="0"/>
        <w:jc w:val="center"/>
        <w:rPr>
          <w:rFonts w:eastAsia="Times New Roman"/>
          <w:b/>
          <w:bCs/>
        </w:rPr>
      </w:pPr>
    </w:p>
    <w:p w14:paraId="4A6F9B01" w14:textId="2F0D0AB4" w:rsidR="000A67C2" w:rsidRDefault="000A67C2" w:rsidP="000A67C2">
      <w:pPr>
        <w:spacing w:after="0"/>
        <w:jc w:val="both"/>
        <w:rPr>
          <w:rFonts w:eastAsia="Times New Roman"/>
        </w:rPr>
      </w:pPr>
      <w:r w:rsidRPr="000A67C2">
        <w:rPr>
          <w:rFonts w:eastAsia="Times New Roman"/>
        </w:rPr>
        <w:t>The regime-level classification in Sections 4.1–4.3 characterizes the local dynamic state of each country at a given point in time. A complementary question concerns the global properties of the estimated Markov-switching process: even for a country that passes through unit root or explosive regimes, does the overall switching process satisfy the second-order stationarity conditions of Psaradakis, Sola, and Spagnolo (2004)? A globally stationary process is one in which regime transitions are sufficiently frequent and the explosive component sufficiently transient that the long-run distribution of the process remains bounded</w:t>
      </w:r>
      <w:r>
        <w:rPr>
          <w:rFonts w:eastAsia="Times New Roman"/>
        </w:rPr>
        <w:t xml:space="preserve">. In such circumstances, </w:t>
      </w:r>
      <w:r w:rsidRPr="000A67C2">
        <w:rPr>
          <w:rFonts w:eastAsia="Times New Roman"/>
        </w:rPr>
        <w:t>mean reversion is restored over time even when it is temporarily suspended.</w:t>
      </w:r>
    </w:p>
    <w:p w14:paraId="46B2E475" w14:textId="77777777" w:rsidR="000A67C2" w:rsidRDefault="000A67C2" w:rsidP="000A67C2">
      <w:pPr>
        <w:spacing w:after="0"/>
        <w:jc w:val="both"/>
        <w:rPr>
          <w:rFonts w:eastAsia="Times New Roman"/>
        </w:rPr>
      </w:pPr>
    </w:p>
    <w:p w14:paraId="02F4BBA0" w14:textId="77777777" w:rsidR="000A67C2" w:rsidRDefault="000A67C2" w:rsidP="000A67C2">
      <w:pPr>
        <w:keepNext/>
        <w:spacing w:after="0"/>
        <w:jc w:val="center"/>
      </w:pPr>
      <w:r>
        <w:rPr>
          <w:rFonts w:eastAsia="Times New Roman"/>
          <w:noProof/>
          <w14:ligatures w14:val="standardContextual"/>
        </w:rPr>
        <w:lastRenderedPageBreak/>
        <w:drawing>
          <wp:inline distT="0" distB="0" distL="0" distR="0" wp14:anchorId="7DD883AA" wp14:editId="7A74F33D">
            <wp:extent cx="3802743" cy="2852057"/>
            <wp:effectExtent l="0" t="0" r="7620" b="5715"/>
            <wp:docPr id="41859248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592488" name="Picture 418592488"/>
                    <pic:cNvPicPr/>
                  </pic:nvPicPr>
                  <pic:blipFill>
                    <a:blip r:embed="rId19">
                      <a:extLst>
                        <a:ext uri="{28A0092B-C50C-407E-A947-70E740481C1C}">
                          <a14:useLocalDpi xmlns:a14="http://schemas.microsoft.com/office/drawing/2010/main" val="0"/>
                        </a:ext>
                      </a:extLst>
                    </a:blip>
                    <a:stretch>
                      <a:fillRect/>
                    </a:stretch>
                  </pic:blipFill>
                  <pic:spPr>
                    <a:xfrm>
                      <a:off x="0" y="0"/>
                      <a:ext cx="3809997" cy="2857497"/>
                    </a:xfrm>
                    <a:prstGeom prst="rect">
                      <a:avLst/>
                    </a:prstGeom>
                  </pic:spPr>
                </pic:pic>
              </a:graphicData>
            </a:graphic>
          </wp:inline>
        </w:drawing>
      </w:r>
    </w:p>
    <w:p w14:paraId="341652C6" w14:textId="45629A08" w:rsidR="000A67C2" w:rsidRPr="000A67C2" w:rsidRDefault="000A67C2" w:rsidP="000A67C2">
      <w:pPr>
        <w:pStyle w:val="Caption"/>
        <w:jc w:val="center"/>
        <w:rPr>
          <w:rFonts w:eastAsia="Times New Roman"/>
          <w:b/>
          <w:bCs/>
          <w:i w:val="0"/>
          <w:iCs w:val="0"/>
          <w:color w:val="auto"/>
          <w:sz w:val="24"/>
          <w:szCs w:val="24"/>
        </w:rPr>
      </w:pPr>
      <w:r w:rsidRPr="000A67C2">
        <w:rPr>
          <w:b/>
          <w:bCs/>
          <w:i w:val="0"/>
          <w:iCs w:val="0"/>
          <w:color w:val="auto"/>
          <w:sz w:val="24"/>
          <w:szCs w:val="24"/>
        </w:rPr>
        <w:t xml:space="preserve">Figure </w:t>
      </w:r>
      <w:r>
        <w:rPr>
          <w:b/>
          <w:bCs/>
          <w:i w:val="0"/>
          <w:iCs w:val="0"/>
          <w:color w:val="auto"/>
          <w:sz w:val="24"/>
          <w:szCs w:val="24"/>
        </w:rPr>
        <w:t>8</w:t>
      </w:r>
      <w:r w:rsidRPr="000A67C2">
        <w:rPr>
          <w:b/>
          <w:bCs/>
          <w:i w:val="0"/>
          <w:iCs w:val="0"/>
          <w:color w:val="auto"/>
          <w:sz w:val="24"/>
          <w:szCs w:val="24"/>
        </w:rPr>
        <w:t xml:space="preserve"> Global Stationarity Results</w:t>
      </w:r>
    </w:p>
    <w:p w14:paraId="369A5559" w14:textId="77777777" w:rsidR="000A67C2" w:rsidRPr="000A67C2" w:rsidRDefault="000A67C2" w:rsidP="000A67C2">
      <w:pPr>
        <w:spacing w:after="0"/>
        <w:jc w:val="both"/>
        <w:rPr>
          <w:rFonts w:eastAsia="Times New Roman"/>
        </w:rPr>
      </w:pPr>
    </w:p>
    <w:p w14:paraId="59C904F5" w14:textId="2FF804C5" w:rsidR="000A67C2" w:rsidRPr="000A67C2" w:rsidRDefault="000A67C2" w:rsidP="000A67C2">
      <w:pPr>
        <w:spacing w:after="0"/>
        <w:jc w:val="both"/>
        <w:rPr>
          <w:rFonts w:eastAsia="Times New Roman"/>
        </w:rPr>
      </w:pPr>
      <w:r w:rsidRPr="000A67C2">
        <w:rPr>
          <w:rFonts w:eastAsia="Times New Roman"/>
        </w:rPr>
        <w:t xml:space="preserve">Figure </w:t>
      </w:r>
      <w:r>
        <w:rPr>
          <w:rFonts w:eastAsia="Times New Roman"/>
        </w:rPr>
        <w:t>8</w:t>
      </w:r>
      <w:r w:rsidRPr="000A67C2">
        <w:rPr>
          <w:rFonts w:eastAsia="Times New Roman"/>
        </w:rPr>
        <w:t xml:space="preserve"> reports the share of country observations classified as globally stationary versus not stationary under this criterion. Across the full sample, 83.1 percent of observations belong to countries whose estimated Markov-switching process satisfies the global stationarity condition; the remaining 16.9 percent do not. This finding is broadly reassuring</w:t>
      </w:r>
      <w:r>
        <w:rPr>
          <w:rFonts w:eastAsia="Times New Roman"/>
        </w:rPr>
        <w:t>.</w:t>
      </w:r>
      <w:r w:rsidRPr="000A67C2">
        <w:rPr>
          <w:rFonts w:eastAsia="Times New Roman"/>
        </w:rPr>
        <w:t xml:space="preserve"> </w:t>
      </w:r>
      <w:r>
        <w:rPr>
          <w:rFonts w:eastAsia="Times New Roman"/>
        </w:rPr>
        <w:t>F</w:t>
      </w:r>
      <w:r w:rsidRPr="000A67C2">
        <w:rPr>
          <w:rFonts w:eastAsia="Times New Roman"/>
        </w:rPr>
        <w:t xml:space="preserve">or </w:t>
      </w:r>
      <w:r w:rsidRPr="000A67C2">
        <w:rPr>
          <w:rFonts w:eastAsia="Times New Roman"/>
        </w:rPr>
        <w:t>most</w:t>
      </w:r>
      <w:r w:rsidRPr="000A67C2">
        <w:rPr>
          <w:rFonts w:eastAsia="Times New Roman"/>
        </w:rPr>
        <w:t xml:space="preserve"> countries, the presence of unit root or explosive episodes does not imply permanent divergence. Instead, these episodes are sufficiently episodic</w:t>
      </w:r>
      <w:r>
        <w:rPr>
          <w:rFonts w:eastAsia="Times New Roman"/>
        </w:rPr>
        <w:t xml:space="preserve">, </w:t>
      </w:r>
      <w:r w:rsidRPr="000A67C2">
        <w:rPr>
          <w:rFonts w:eastAsia="Times New Roman"/>
        </w:rPr>
        <w:t>and the transition probabilities sufficiently favorable</w:t>
      </w:r>
      <w:r>
        <w:rPr>
          <w:rFonts w:eastAsia="Times New Roman"/>
        </w:rPr>
        <w:t xml:space="preserve">, such </w:t>
      </w:r>
      <w:r w:rsidRPr="000A67C2">
        <w:rPr>
          <w:rFonts w:eastAsia="Times New Roman"/>
        </w:rPr>
        <w:t>that the overall process remains anchored.</w:t>
      </w:r>
    </w:p>
    <w:p w14:paraId="0FD00BBD" w14:textId="77777777" w:rsidR="000A67C2" w:rsidRPr="000A67C2" w:rsidRDefault="000A67C2" w:rsidP="000A67C2">
      <w:pPr>
        <w:spacing w:after="0"/>
        <w:jc w:val="both"/>
        <w:rPr>
          <w:rFonts w:eastAsia="Times New Roman"/>
        </w:rPr>
      </w:pPr>
    </w:p>
    <w:p w14:paraId="7EDA60C0" w14:textId="3B5F183E" w:rsidR="000A67C2" w:rsidRPr="000A67C2" w:rsidRDefault="000A67C2" w:rsidP="000A67C2">
      <w:pPr>
        <w:spacing w:after="0"/>
        <w:jc w:val="both"/>
        <w:rPr>
          <w:rFonts w:eastAsia="Times New Roman"/>
        </w:rPr>
      </w:pPr>
      <w:r w:rsidRPr="000A67C2">
        <w:rPr>
          <w:rFonts w:eastAsia="Times New Roman"/>
        </w:rPr>
        <w:t>The 16.9 percent of observations classified as globally non-stationary are concentrated among countries with persistent explosive dynamics and low regime-switching frequency. These cases are of particular interest for the second-stage analysis: they represent countries for which the usual mean-reversion mechanism appears to be weakest, and where structural factors that govern the transition out of explosive regimes are likely most consequential.</w:t>
      </w:r>
    </w:p>
    <w:p w14:paraId="767AE678" w14:textId="77777777" w:rsidR="000A67C2" w:rsidRDefault="000A67C2" w:rsidP="000A67C2">
      <w:pPr>
        <w:spacing w:after="0"/>
        <w:jc w:val="both"/>
        <w:rPr>
          <w:rFonts w:eastAsia="Times New Roman"/>
          <w:b/>
          <w:bCs/>
        </w:rPr>
      </w:pPr>
    </w:p>
    <w:p w14:paraId="3C64EAD8" w14:textId="6A770720" w:rsidR="002B2EA0" w:rsidRDefault="000A67C2" w:rsidP="002B2EA0">
      <w:pPr>
        <w:spacing w:after="0"/>
        <w:jc w:val="both"/>
        <w:rPr>
          <w:rFonts w:eastAsia="Times New Roman"/>
          <w:b/>
          <w:bCs/>
        </w:rPr>
      </w:pPr>
      <w:r>
        <w:rPr>
          <w:rFonts w:eastAsia="Times New Roman"/>
          <w:b/>
          <w:bCs/>
        </w:rPr>
        <w:t xml:space="preserve">4.5 </w:t>
      </w:r>
      <w:r w:rsidR="00437778" w:rsidRPr="00437778">
        <w:rPr>
          <w:rFonts w:eastAsia="Times New Roman"/>
          <w:b/>
          <w:bCs/>
        </w:rPr>
        <w:t>Implications for Second-Stage Analysis</w:t>
      </w:r>
    </w:p>
    <w:p w14:paraId="51013831" w14:textId="77777777" w:rsidR="003D0EB9" w:rsidRDefault="003D0EB9" w:rsidP="002B2EA0">
      <w:pPr>
        <w:spacing w:after="0"/>
        <w:jc w:val="both"/>
        <w:rPr>
          <w:rFonts w:eastAsia="Times New Roman"/>
          <w:b/>
          <w:bCs/>
        </w:rPr>
      </w:pPr>
    </w:p>
    <w:p w14:paraId="7DEC75B9" w14:textId="0F9817DA" w:rsidR="003D0EB9" w:rsidRDefault="003D0EB9" w:rsidP="3F82F0DF">
      <w:pPr>
        <w:spacing w:after="0"/>
        <w:jc w:val="both"/>
        <w:rPr>
          <w:rFonts w:eastAsia="Times New Roman" w:cs="Times New Roman"/>
          <w:spacing w:val="-2"/>
        </w:rPr>
      </w:pPr>
      <w:r w:rsidRPr="3F82F0DF">
        <w:rPr>
          <w:rFonts w:eastAsia="Times New Roman" w:cs="Times New Roman"/>
          <w:spacing w:val="-2"/>
        </w:rPr>
        <w:t>The Markov switching results demonstrate that current account dynamics exhibit substantial regime heterogeneity across countries and over time. Although unit root behavior is the modal state, stationary and explosive regimes occur with non</w:t>
      </w:r>
      <w:r w:rsidRPr="3F82F0DF">
        <w:rPr>
          <w:rFonts w:eastAsia="Times New Roman" w:cs="Times New Roman"/>
          <w:spacing w:val="-2"/>
        </w:rPr>
        <w:noBreakHyphen/>
        <w:t>trivial frequency. These regimes are not evenly distributed across country groups or periods.</w:t>
      </w:r>
    </w:p>
    <w:p w14:paraId="6BC56D38" w14:textId="77777777" w:rsidR="003D0EB9" w:rsidRPr="003D0EB9" w:rsidRDefault="003D0EB9" w:rsidP="003D0EB9">
      <w:pPr>
        <w:spacing w:after="0"/>
        <w:jc w:val="both"/>
        <w:rPr>
          <w:rFonts w:eastAsia="Times New Roman" w:cs="Times New Roman"/>
          <w:spacing w:val="-2"/>
          <w:szCs w:val="24"/>
        </w:rPr>
      </w:pPr>
    </w:p>
    <w:p w14:paraId="736D3CBB" w14:textId="17D94969" w:rsidR="003D0EB9" w:rsidRDefault="003D0EB9" w:rsidP="003D0EB9">
      <w:pPr>
        <w:spacing w:after="0"/>
        <w:jc w:val="both"/>
        <w:rPr>
          <w:rFonts w:eastAsia="Times New Roman" w:cs="Times New Roman"/>
          <w:spacing w:val="-2"/>
          <w:szCs w:val="24"/>
        </w:rPr>
      </w:pPr>
      <w:r w:rsidRPr="003D0EB9">
        <w:rPr>
          <w:rFonts w:eastAsia="Times New Roman" w:cs="Times New Roman"/>
          <w:spacing w:val="-2"/>
          <w:szCs w:val="24"/>
        </w:rPr>
        <w:t>The presence of meaningful variation in regime prevalence raises a natural question. Which structural and macroeconomic characteristics are associated with a country being in one persistence regime rather than another</w:t>
      </w:r>
      <w:r w:rsidR="00B830BC">
        <w:rPr>
          <w:rFonts w:eastAsia="Times New Roman" w:cs="Times New Roman"/>
          <w:spacing w:val="-2"/>
          <w:szCs w:val="24"/>
        </w:rPr>
        <w:t>?</w:t>
      </w:r>
      <w:r w:rsidRPr="003D0EB9">
        <w:rPr>
          <w:rFonts w:eastAsia="Times New Roman" w:cs="Times New Roman"/>
          <w:spacing w:val="-2"/>
          <w:szCs w:val="24"/>
        </w:rPr>
        <w:t xml:space="preserve"> Addressing this question requires moving beyond time</w:t>
      </w:r>
      <w:r w:rsidRPr="003D0EB9">
        <w:rPr>
          <w:rFonts w:eastAsia="Times New Roman" w:cs="Times New Roman"/>
          <w:spacing w:val="-2"/>
          <w:szCs w:val="24"/>
        </w:rPr>
        <w:noBreakHyphen/>
        <w:t>series characterization toward an explicit analysis of regime determinants.</w:t>
      </w:r>
    </w:p>
    <w:p w14:paraId="29D221F5" w14:textId="77777777" w:rsidR="003D0EB9" w:rsidRPr="003D0EB9" w:rsidRDefault="003D0EB9" w:rsidP="003D0EB9">
      <w:pPr>
        <w:spacing w:after="0"/>
        <w:jc w:val="both"/>
        <w:rPr>
          <w:rFonts w:eastAsia="Times New Roman" w:cs="Times New Roman"/>
          <w:spacing w:val="-2"/>
          <w:szCs w:val="24"/>
        </w:rPr>
      </w:pPr>
    </w:p>
    <w:p w14:paraId="40BFC9BF" w14:textId="3F2F2E64" w:rsidR="003D0EB9" w:rsidRPr="003D0EB9" w:rsidRDefault="003D0EB9" w:rsidP="3F82F0DF">
      <w:pPr>
        <w:spacing w:after="0"/>
        <w:jc w:val="both"/>
        <w:rPr>
          <w:rFonts w:eastAsia="Times New Roman" w:cs="Times New Roman"/>
          <w:spacing w:val="-2"/>
        </w:rPr>
      </w:pPr>
      <w:r w:rsidRPr="3F82F0DF">
        <w:rPr>
          <w:rFonts w:eastAsia="Times New Roman" w:cs="Times New Roman"/>
          <w:spacing w:val="-2"/>
        </w:rPr>
        <w:lastRenderedPageBreak/>
        <w:t>To this end, we aggregate quarterly regime classifications to the annual level. We then estimate a multinomial logit model in which the dependent variable is the prevailing current account regime for each country year</w:t>
      </w:r>
      <w:r w:rsidRPr="3F82F0DF">
        <w:rPr>
          <w:rFonts w:eastAsia="Times New Roman" w:cs="Times New Roman"/>
          <w:spacing w:val="-2"/>
        </w:rPr>
        <w:noBreakHyphen/>
        <w:t xml:space="preserve"> observation. This approach allows us to examine how fiscal, trade, financial, and institutional factors are related to the likelihood of stationary, unit root, or explosive dynamics.</w:t>
      </w:r>
    </w:p>
    <w:p w14:paraId="18AB68F3" w14:textId="665E872D" w:rsidR="003D0EB9" w:rsidRPr="003D0EB9" w:rsidRDefault="003D0EB9" w:rsidP="3F82F0DF">
      <w:pPr>
        <w:spacing w:after="0"/>
        <w:jc w:val="both"/>
        <w:rPr>
          <w:rFonts w:eastAsia="Times New Roman" w:cs="Times New Roman"/>
          <w:spacing w:val="-2"/>
        </w:rPr>
      </w:pPr>
      <w:r w:rsidRPr="3F82F0DF">
        <w:rPr>
          <w:rFonts w:eastAsia="Times New Roman" w:cs="Times New Roman"/>
          <w:spacing w:val="-2"/>
        </w:rPr>
        <w:t xml:space="preserve">The second stage analysis shifts the focus from describing persistence regimes to explaining them. While the </w:t>
      </w:r>
      <w:r w:rsidRPr="3F82F0DF">
        <w:rPr>
          <w:rFonts w:eastAsia="Times New Roman" w:cs="Times New Roman"/>
          <w:spacing w:val="-2"/>
        </w:rPr>
        <w:noBreakHyphen/>
        <w:t>Markov switching model identifies</w:t>
      </w:r>
      <w:r w:rsidRPr="3F82F0DF">
        <w:rPr>
          <w:rFonts w:eastAsia="Times New Roman" w:cs="Times New Roman"/>
          <w:spacing w:val="-2"/>
        </w:rPr>
        <w:noBreakHyphen/>
        <w:t xml:space="preserve"> when and where different regimes occur, the multinomial framework assesses which structural features systematically predict regime membership. The next section describes </w:t>
      </w:r>
      <w:r w:rsidR="00FD1C39" w:rsidRPr="3F82F0DF">
        <w:rPr>
          <w:rFonts w:eastAsia="Times New Roman" w:cs="Times New Roman"/>
          <w:spacing w:val="-2"/>
        </w:rPr>
        <w:t>empirical</w:t>
      </w:r>
      <w:r w:rsidRPr="3F82F0DF">
        <w:rPr>
          <w:rFonts w:eastAsia="Times New Roman" w:cs="Times New Roman"/>
          <w:spacing w:val="-2"/>
        </w:rPr>
        <w:t xml:space="preserve"> specification</w:t>
      </w:r>
      <w:r w:rsidR="00FD1C39">
        <w:rPr>
          <w:rFonts w:eastAsia="Times New Roman" w:cs="Times New Roman"/>
          <w:spacing w:val="-2"/>
        </w:rPr>
        <w:t>s</w:t>
      </w:r>
      <w:r w:rsidRPr="3F82F0DF">
        <w:rPr>
          <w:rFonts w:eastAsia="Times New Roman" w:cs="Times New Roman"/>
          <w:spacing w:val="-2"/>
        </w:rPr>
        <w:t xml:space="preserve"> and variable construction in detail.</w:t>
      </w:r>
    </w:p>
    <w:p w14:paraId="78D19B20" w14:textId="0005E9F1" w:rsidR="00437778" w:rsidRPr="002B2EA0" w:rsidRDefault="00437778" w:rsidP="58085007">
      <w:pPr>
        <w:spacing w:after="0"/>
        <w:jc w:val="both"/>
        <w:rPr>
          <w:rFonts w:eastAsia="Times New Roman" w:cs="Times New Roman"/>
        </w:rPr>
      </w:pPr>
    </w:p>
    <w:p w14:paraId="10253604" w14:textId="3D43603D" w:rsidR="00514562" w:rsidRPr="007347B7" w:rsidRDefault="00787034" w:rsidP="0073265E">
      <w:pPr>
        <w:rPr>
          <w:bCs/>
        </w:rPr>
      </w:pPr>
      <w:r>
        <w:rPr>
          <w:rFonts w:eastAsia="Times New Roman"/>
          <w:b/>
          <w:bCs/>
        </w:rPr>
        <w:t>5</w:t>
      </w:r>
      <w:r w:rsidR="00FD4624" w:rsidRPr="0073265E">
        <w:rPr>
          <w:rFonts w:eastAsia="Times New Roman"/>
          <w:b/>
          <w:bCs/>
        </w:rPr>
        <w:t xml:space="preserve">. </w:t>
      </w:r>
      <w:bookmarkStart w:id="8" w:name="Empirical_results"/>
      <w:bookmarkStart w:id="9" w:name="_bookmark6"/>
      <w:bookmarkEnd w:id="8"/>
      <w:bookmarkEnd w:id="9"/>
      <w:r w:rsidR="00B75B8F" w:rsidRPr="0073265E">
        <w:rPr>
          <w:b/>
          <w:bCs/>
        </w:rPr>
        <w:t xml:space="preserve">Determinants of </w:t>
      </w:r>
      <w:r>
        <w:rPr>
          <w:b/>
          <w:bCs/>
        </w:rPr>
        <w:t>C</w:t>
      </w:r>
      <w:r w:rsidRPr="0073265E">
        <w:rPr>
          <w:b/>
          <w:bCs/>
        </w:rPr>
        <w:t xml:space="preserve">urrent </w:t>
      </w:r>
      <w:r>
        <w:rPr>
          <w:b/>
          <w:bCs/>
        </w:rPr>
        <w:t>A</w:t>
      </w:r>
      <w:r w:rsidRPr="0073265E">
        <w:rPr>
          <w:b/>
          <w:bCs/>
        </w:rPr>
        <w:t xml:space="preserve">ccount </w:t>
      </w:r>
      <w:r>
        <w:rPr>
          <w:b/>
          <w:bCs/>
        </w:rPr>
        <w:t>P</w:t>
      </w:r>
      <w:r w:rsidRPr="0073265E">
        <w:rPr>
          <w:b/>
          <w:bCs/>
        </w:rPr>
        <w:t>ersistence</w:t>
      </w:r>
    </w:p>
    <w:p w14:paraId="1C7B5E77" w14:textId="77777777" w:rsidR="002B2EA0" w:rsidRDefault="00787034" w:rsidP="002B2EA0">
      <w:pPr>
        <w:spacing w:after="0"/>
        <w:jc w:val="both"/>
        <w:rPr>
          <w:rFonts w:eastAsia="Times New Roman"/>
          <w:b/>
          <w:bCs/>
        </w:rPr>
      </w:pPr>
      <w:r>
        <w:rPr>
          <w:rFonts w:eastAsia="Times New Roman"/>
          <w:b/>
          <w:bCs/>
        </w:rPr>
        <w:t>5</w:t>
      </w:r>
      <w:r w:rsidRPr="00842959">
        <w:rPr>
          <w:rFonts w:eastAsia="Times New Roman"/>
          <w:b/>
          <w:bCs/>
        </w:rPr>
        <w:t>.</w:t>
      </w:r>
      <w:r>
        <w:rPr>
          <w:rFonts w:eastAsia="Times New Roman"/>
          <w:b/>
          <w:bCs/>
        </w:rPr>
        <w:t>1</w:t>
      </w:r>
      <w:r w:rsidRPr="00842959">
        <w:rPr>
          <w:rFonts w:eastAsia="Times New Roman"/>
          <w:b/>
          <w:bCs/>
        </w:rPr>
        <w:t xml:space="preserve"> </w:t>
      </w:r>
      <w:r>
        <w:rPr>
          <w:rFonts w:eastAsia="Times New Roman"/>
          <w:b/>
          <w:bCs/>
        </w:rPr>
        <w:t>Methodology</w:t>
      </w:r>
    </w:p>
    <w:p w14:paraId="33E3042F" w14:textId="65161DA0" w:rsidR="00787034" w:rsidRPr="002B2EA0" w:rsidRDefault="00787034" w:rsidP="002B2EA0">
      <w:pPr>
        <w:spacing w:after="0"/>
        <w:jc w:val="both"/>
        <w:rPr>
          <w:rFonts w:eastAsia="Times New Roman"/>
          <w:b/>
          <w:bCs/>
        </w:rPr>
      </w:pPr>
      <w:r w:rsidRPr="00DE342F">
        <w:rPr>
          <w:b/>
          <w:bCs/>
        </w:rPr>
        <w:t>5</w:t>
      </w:r>
      <w:r w:rsidRPr="0073265E">
        <w:rPr>
          <w:rFonts w:eastAsia="Times New Roman"/>
          <w:b/>
          <w:bCs/>
        </w:rPr>
        <w:t>.</w:t>
      </w:r>
      <w:r>
        <w:rPr>
          <w:rFonts w:eastAsia="Times New Roman"/>
          <w:b/>
          <w:bCs/>
        </w:rPr>
        <w:t>1</w:t>
      </w:r>
      <w:r w:rsidRPr="0073265E">
        <w:rPr>
          <w:rFonts w:eastAsia="Times New Roman"/>
          <w:b/>
          <w:bCs/>
        </w:rPr>
        <w:t>.</w:t>
      </w:r>
      <w:r>
        <w:rPr>
          <w:rFonts w:eastAsia="Times New Roman"/>
          <w:b/>
          <w:bCs/>
        </w:rPr>
        <w:t>1</w:t>
      </w:r>
      <w:r w:rsidRPr="0073265E">
        <w:rPr>
          <w:rFonts w:eastAsia="Times New Roman"/>
          <w:b/>
          <w:bCs/>
        </w:rPr>
        <w:t xml:space="preserve"> </w:t>
      </w:r>
      <w:r>
        <w:rPr>
          <w:rFonts w:eastAsia="Times New Roman"/>
          <w:b/>
          <w:bCs/>
        </w:rPr>
        <w:t>Empirical Framework</w:t>
      </w:r>
    </w:p>
    <w:p w14:paraId="0E2FCDDD" w14:textId="61E0A6B6" w:rsidR="005E784B" w:rsidRDefault="58085007" w:rsidP="00B830BC">
      <w:pPr>
        <w:jc w:val="both"/>
      </w:pPr>
      <w:r>
        <w:t xml:space="preserve">To identify the structural determinants of current account persistence regimes, we estimate a multinomial logit (MNL) model in which the dependent variable is the regime classification assigned to each country-year observation. Let yᵢₜ ∈ {Explosive, Stationary, Unit root} denote the regime state identified by the Markov switching procedure described in Section 3. We model the probability of observing each regime outcome as a function of a vector of country-level structural characteristics xᵢₜ, normalizing by setting the explosive regime as the baseline category. </w:t>
      </w:r>
    </w:p>
    <w:p w14:paraId="31E768C6" w14:textId="77777777" w:rsidR="005E784B" w:rsidRPr="005E784B" w:rsidRDefault="005E784B" w:rsidP="005E784B">
      <w:pPr>
        <w:spacing w:before="100" w:beforeAutospacing="1" w:after="0"/>
        <w:jc w:val="both"/>
      </w:pPr>
      <w:r w:rsidRPr="005E784B">
        <w:t>The model is normalized by setting the explosive regime as the reference category. This normalization reflects our substantive interest in identifying the factors that distinguish destabilizing external dynamics from the stable regime space. Standard errors are clustered at the country level throughout to account for serial correlation within country time series.</w:t>
      </w:r>
    </w:p>
    <w:p w14:paraId="15AB33B2" w14:textId="5374C281" w:rsidR="005E784B" w:rsidRPr="005E784B" w:rsidRDefault="5491219E" w:rsidP="3F82F0DF">
      <w:pPr>
        <w:spacing w:before="100" w:beforeAutospacing="1" w:after="0"/>
        <w:jc w:val="both"/>
      </w:pPr>
      <w:r>
        <w:t>The multinomial framework allows us to exploit both cross-sectional and time variation</w:t>
      </w:r>
      <w:r w:rsidR="00FD1C39">
        <w:t>s</w:t>
      </w:r>
      <w:r>
        <w:t xml:space="preserve"> in regime outcomes. It also accommodates the unordered nature of the three regimes without imposing cardinal structure. The model therefore provides a flexible platform for assessing how structural characteristics are associated with different patterns of current account persistence.</w:t>
      </w:r>
    </w:p>
    <w:p w14:paraId="45F966BA" w14:textId="3B3973B6" w:rsidR="00787034" w:rsidRPr="007347B7" w:rsidRDefault="00787034" w:rsidP="002B2EA0">
      <w:pPr>
        <w:spacing w:before="100" w:beforeAutospacing="1" w:after="0"/>
        <w:jc w:val="both"/>
        <w:rPr>
          <w:rFonts w:eastAsia="Times New Roman"/>
          <w:bCs/>
        </w:rPr>
      </w:pPr>
      <w:r w:rsidRPr="00DE342F">
        <w:rPr>
          <w:b/>
          <w:bCs/>
        </w:rPr>
        <w:t>5</w:t>
      </w:r>
      <w:r w:rsidRPr="0073265E">
        <w:rPr>
          <w:rFonts w:eastAsia="Times New Roman"/>
          <w:b/>
          <w:bCs/>
        </w:rPr>
        <w:t>.</w:t>
      </w:r>
      <w:r>
        <w:rPr>
          <w:rFonts w:eastAsia="Times New Roman"/>
          <w:b/>
          <w:bCs/>
        </w:rPr>
        <w:t>1</w:t>
      </w:r>
      <w:r w:rsidRPr="0073265E">
        <w:rPr>
          <w:rFonts w:eastAsia="Times New Roman"/>
          <w:b/>
          <w:bCs/>
        </w:rPr>
        <w:t>.</w:t>
      </w:r>
      <w:r>
        <w:rPr>
          <w:rFonts w:eastAsia="Times New Roman"/>
          <w:b/>
          <w:bCs/>
        </w:rPr>
        <w:t>2</w:t>
      </w:r>
      <w:r w:rsidRPr="0073265E">
        <w:rPr>
          <w:rFonts w:eastAsia="Times New Roman"/>
          <w:b/>
          <w:bCs/>
        </w:rPr>
        <w:t xml:space="preserve"> </w:t>
      </w:r>
      <w:r w:rsidRPr="002B2EA0">
        <w:rPr>
          <w:b/>
          <w:bCs/>
        </w:rPr>
        <w:t>Covariates and Construction</w:t>
      </w:r>
    </w:p>
    <w:p w14:paraId="24EA2F1B" w14:textId="77777777" w:rsidR="005E784B" w:rsidRPr="005E784B" w:rsidRDefault="005E784B" w:rsidP="00B830BC">
      <w:pPr>
        <w:jc w:val="both"/>
      </w:pPr>
      <w:r w:rsidRPr="005E784B">
        <w:t>The specification is guided by the theoretical literature on current account adjustment and exchange rate regime effects. We include six structural regressors.</w:t>
      </w:r>
    </w:p>
    <w:p w14:paraId="1E6B6561" w14:textId="0AD1BDDD" w:rsidR="005E784B" w:rsidRPr="005E784B" w:rsidRDefault="005E784B" w:rsidP="00B830BC">
      <w:pPr>
        <w:jc w:val="both"/>
      </w:pPr>
      <w:r w:rsidRPr="005E784B">
        <w:t xml:space="preserve">The exchange rate regime is captured by a binary indicator equal to one if the country maintained a fixed or pegged exchange rate arrangement in year </w:t>
      </w:r>
      <w:r w:rsidRPr="005E784B">
        <w:rPr>
          <w:i/>
          <w:iCs/>
        </w:rPr>
        <w:t>t.</w:t>
      </w:r>
      <w:r w:rsidRPr="005E784B">
        <w:t xml:space="preserve"> The classification is drawn from Ilzetzki, Reinhart, and Rogoff (2019). Under fixed exchange rates, external adjustment must operate through domestic prices rather than nominal depreciation, which may alter persistence dynamics. </w:t>
      </w:r>
    </w:p>
    <w:p w14:paraId="54973F84" w14:textId="4156C40D" w:rsidR="005E784B" w:rsidRPr="005E784B" w:rsidRDefault="005E784B" w:rsidP="00B830BC">
      <w:pPr>
        <w:jc w:val="both"/>
      </w:pPr>
      <w:r w:rsidRPr="005E784B">
        <w:t xml:space="preserve">We include a current account deficit indicator equal to one if the country ran a current account deficit in year </w:t>
      </w:r>
      <m:oMath>
        <m:r>
          <w:rPr>
            <w:rFonts w:ascii="Cambria Math" w:hAnsi="Cambria Math"/>
          </w:rPr>
          <m:t>t</m:t>
        </m:r>
      </m:oMath>
      <w:r w:rsidRPr="005E784B">
        <w:t xml:space="preserve">. </w:t>
      </w:r>
      <w:bookmarkStart w:id="10" w:name="_Int_OZokcqD4"/>
      <w:r w:rsidRPr="005E784B">
        <w:t>This variable captures</w:t>
      </w:r>
      <w:bookmarkEnd w:id="10"/>
      <w:r w:rsidRPr="005E784B">
        <w:t xml:space="preserve"> whether the initial balance position matters for regime classification, conditional on the other structural covariates.</w:t>
      </w:r>
    </w:p>
    <w:p w14:paraId="1C3E91E5" w14:textId="64B49EF5" w:rsidR="005E784B" w:rsidRPr="005E784B" w:rsidRDefault="3F82F0DF" w:rsidP="00B830BC">
      <w:pPr>
        <w:jc w:val="both"/>
      </w:pPr>
      <w:r>
        <w:lastRenderedPageBreak/>
        <w:t>Commodity exporters are identified using a binary indicator equal to one if the country is classified as a primary commodity exporter. Such economies are exposed to terms of trade volatility that may generate persistent or explosive current account movements.</w:t>
      </w:r>
    </w:p>
    <w:p w14:paraId="31B23059" w14:textId="4D640559" w:rsidR="00E93A7A" w:rsidRPr="005E784B" w:rsidRDefault="005E784B" w:rsidP="00B830BC">
      <w:pPr>
        <w:jc w:val="both"/>
      </w:pPr>
      <w:r w:rsidRPr="005E784B">
        <w:t>Manufacturing exporters are identified by an indicator equal to one if manufactured goods represent the primary export category. Manufacturing exporters often face more elastic global demand and stronger competitive pressures. These features may generate sharper swings in export revenues and increase the likelihood of entering an explosive adjustment path.</w:t>
      </w:r>
    </w:p>
    <w:p w14:paraId="192ADEA6" w14:textId="1ABA1326" w:rsidR="005E784B" w:rsidRPr="005E784B" w:rsidRDefault="005E784B" w:rsidP="00B830BC">
      <w:pPr>
        <w:jc w:val="both"/>
      </w:pPr>
      <w:r w:rsidRPr="005E784B">
        <w:t xml:space="preserve">Trade openness is measured as the ratio of total trade to GDP and is lagged one period. Lagging reduces simultaneity concerns, since regime classification at time </w:t>
      </w:r>
      <m:oMath>
        <m:r>
          <w:rPr>
            <w:rFonts w:ascii="Cambria Math" w:hAnsi="Cambria Math"/>
          </w:rPr>
          <m:t>t</m:t>
        </m:r>
      </m:oMath>
      <w:r w:rsidRPr="005E784B">
        <w:t>is contemporaneous with the openness measure. The lag ensures that openness reflects the pre</w:t>
      </w:r>
      <w:r w:rsidRPr="005E784B">
        <w:noBreakHyphen/>
        <w:t>existing structural position rather than an outcome influenced by the regime.</w:t>
      </w:r>
    </w:p>
    <w:p w14:paraId="3596519E" w14:textId="531C88E0" w:rsidR="00E93A7A" w:rsidRDefault="00B830BC" w:rsidP="00B830BC">
      <w:pPr>
        <w:jc w:val="both"/>
      </w:pPr>
      <w:r>
        <w:t>The fi</w:t>
      </w:r>
      <w:r w:rsidRPr="00B830BC">
        <w:t>scal balance (3-year moving average, lagged)</w:t>
      </w:r>
      <w:r>
        <w:t xml:space="preserve"> measures general government fiscal balance as a share of GDP, </w:t>
      </w:r>
      <w:r w:rsidR="005E784B">
        <w:t>accumulated</w:t>
      </w:r>
      <w:r>
        <w:t xml:space="preserve"> over t−2 through t and then lagged one period to the (t−3, t−1) window. Three-year </w:t>
      </w:r>
      <w:r w:rsidR="00C273FB">
        <w:t>accumulation</w:t>
      </w:r>
      <w:r>
        <w:t xml:space="preserve"> reduces budget cycle noise and captures the medium-term fiscal position. Lagging mitigates reverse causality from the external regime to fiscal outcomes via automatic stabilizers.</w:t>
      </w:r>
    </w:p>
    <w:p w14:paraId="62C5FB34" w14:textId="77777777" w:rsidR="00E93A7A" w:rsidRDefault="00000000" w:rsidP="00B830BC">
      <w:pPr>
        <w:jc w:val="both"/>
      </w:pPr>
      <w:r>
        <w:t>All continuous variables are standardized at the sample level. The complete sample covers 74 countries observed annually spanning 1971–2023, yielding 2,451 usable observations after listwise deletion on all covariates. Three countries included in the unit root analysis (Section 4) are excluded from the MNL estimation because they have no usable observations after listwise deletion on covariates, reducing the sample from 77 to 74 countries. Country coverage is strongly unbalanced in the early part of the sample: fewer than 30 countries contribute observations before 1985, rising to 39 countries by 1995 and 70 or more from 2008 onward. The analysis retains these early observations rather than imposing a common start date, as the unbalanced structure reflects genuine data availability rather than sample selection.</w:t>
      </w:r>
    </w:p>
    <w:p w14:paraId="29348588" w14:textId="6CE209AF" w:rsidR="00787034" w:rsidRPr="007347B7" w:rsidRDefault="00787034" w:rsidP="002B2EA0">
      <w:pPr>
        <w:spacing w:before="100" w:beforeAutospacing="1" w:after="0"/>
        <w:jc w:val="both"/>
        <w:rPr>
          <w:rFonts w:eastAsia="Times New Roman"/>
          <w:bCs/>
        </w:rPr>
      </w:pPr>
      <w:r w:rsidRPr="00DE342F">
        <w:rPr>
          <w:b/>
          <w:bCs/>
        </w:rPr>
        <w:t>5</w:t>
      </w:r>
      <w:r w:rsidRPr="0073265E">
        <w:rPr>
          <w:rFonts w:eastAsia="Times New Roman"/>
          <w:b/>
          <w:bCs/>
        </w:rPr>
        <w:t>.</w:t>
      </w:r>
      <w:r>
        <w:rPr>
          <w:rFonts w:eastAsia="Times New Roman"/>
          <w:b/>
          <w:bCs/>
        </w:rPr>
        <w:t>1</w:t>
      </w:r>
      <w:r w:rsidRPr="0073265E">
        <w:rPr>
          <w:rFonts w:eastAsia="Times New Roman"/>
          <w:b/>
          <w:bCs/>
        </w:rPr>
        <w:t>.</w:t>
      </w:r>
      <w:r>
        <w:rPr>
          <w:rFonts w:eastAsia="Times New Roman"/>
          <w:b/>
          <w:bCs/>
        </w:rPr>
        <w:t>3</w:t>
      </w:r>
      <w:r w:rsidRPr="0073265E">
        <w:rPr>
          <w:rFonts w:eastAsia="Times New Roman"/>
          <w:b/>
          <w:bCs/>
        </w:rPr>
        <w:t xml:space="preserve"> </w:t>
      </w:r>
      <w:r>
        <w:rPr>
          <w:b/>
          <w:bCs/>
        </w:rPr>
        <w:t>Model Selection</w:t>
      </w:r>
    </w:p>
    <w:p w14:paraId="02A9D19B" w14:textId="7E4C462E" w:rsidR="00E93A7A" w:rsidRDefault="3F82F0DF" w:rsidP="00B830BC">
      <w:pPr>
        <w:jc w:val="both"/>
      </w:pPr>
      <w:r>
        <w:t>Model specification follows a composite criterion balancing parsimony, predictive performance, and sample coverage</w:t>
      </w:r>
      <w:r w:rsidRPr="3F82F0DF">
        <w:rPr>
          <w:rFonts w:ascii="Segoe UI" w:eastAsia="Times New Roman" w:hAnsi="Segoe UI" w:cs="Segoe UI"/>
          <w:sz w:val="21"/>
          <w:szCs w:val="21"/>
        </w:rPr>
        <w:t xml:space="preserve"> </w:t>
      </w:r>
      <w:r>
        <w:t>The first is the Bayesian Information Criterion per observation, which penalizes overparameterization relative to sample size. The second is out of sample log loss computed using a country grouped five-fold cross validation procedure. The third is sample retention, since additional covariates reduce the usable sample. The preferred specification performs consistently well in all three dimensions.</w:t>
      </w:r>
    </w:p>
    <w:p w14:paraId="0CD6112C" w14:textId="056B5A83" w:rsidR="00C273FB" w:rsidRPr="00C273FB" w:rsidRDefault="00B830BC" w:rsidP="00B830BC">
      <w:pPr>
        <w:jc w:val="both"/>
      </w:pPr>
      <w:r>
        <w:t>Notable, i</w:t>
      </w:r>
      <w:r w:rsidR="00C273FB" w:rsidRPr="00C273FB">
        <w:t>ncluding a full set of year fixed effects substantially worsens model fit and leads to convergence problems in some cases. The increase</w:t>
      </w:r>
      <w:r>
        <w:t>d</w:t>
      </w:r>
      <w:r w:rsidR="00C273FB" w:rsidRPr="00C273FB">
        <w:t xml:space="preserve"> parameter dimensionality is not offset by meaningful gains in predictive performance.</w:t>
      </w:r>
    </w:p>
    <w:p w14:paraId="0B5D7205" w14:textId="42A48F1B" w:rsidR="00C273FB" w:rsidRPr="00C273FB" w:rsidRDefault="58085007" w:rsidP="00B830BC">
      <w:pPr>
        <w:jc w:val="both"/>
      </w:pPr>
      <w:r>
        <w:t>To assess whether common global shocks drive regime classification, we also consider targeted crisis indicators for the Global Financial Crisis and the COVID 19 shock. These indicators do not improve model fit and are not statistically significant. This result suggests that regime dynamics are primarily driven by persistent cross-sectional structural differences rather than common time effects. We therefore exclude year fixed effects from the baseline specification.</w:t>
      </w:r>
    </w:p>
    <w:p w14:paraId="5BCA192F" w14:textId="309BFCA7" w:rsidR="00DE4F49" w:rsidRDefault="58085007" w:rsidP="00B830BC">
      <w:pPr>
        <w:jc w:val="both"/>
      </w:pPr>
      <w:r>
        <w:lastRenderedPageBreak/>
        <w:t>Two limitations of the two-step framework merit acknowledgment. First, the regime classifications used as the dependent variable in the MNL are estimated from the Markov switching model in Step 1, not directly observed. Classification uncertainty from Step 1 is not propagated to the Step 2 standard errors. Ignoring first-stage uncertainty generally understates second-stage standard errors (Murphy and Topel 1985). While the Markov switching model provides relatively precise regime classifications for most observations, coefficients significant only near conventional thresholds should be interpreted with this caveat in mind.</w:t>
      </w:r>
    </w:p>
    <w:p w14:paraId="2D5B7355" w14:textId="3EEBA7EC" w:rsidR="00DE4F49" w:rsidRDefault="00000000" w:rsidP="00B830BC">
      <w:pPr>
        <w:jc w:val="both"/>
      </w:pPr>
      <w:r>
        <w:t>Second, the multinomial logit rests on the independence of irrelevant alternatives (IIA) assumption</w:t>
      </w:r>
      <w:r w:rsidR="00FD1C39">
        <w:t>.</w:t>
      </w:r>
      <w:r>
        <w:t xml:space="preserve"> </w:t>
      </w:r>
      <w:r w:rsidR="00FD1C39">
        <w:t xml:space="preserve">This assumption states that the </w:t>
      </w:r>
      <w:r>
        <w:t xml:space="preserve">relative probability of any two regime outcomes is independent of the third outcome. Given the natural persistence ordering of regimes (stationary &lt; unit root &lt; explosive), IIA may not hold exactly. We provide a formal check using the Hausman-McFadden (1984) test, which compares full-model coefficients against estimates from a restricted model that drops one outcome at a time. For both tests (dropping Stationary; dropping Unit root), </w:t>
      </w:r>
      <w:r w:rsidR="00FD1C39">
        <w:t xml:space="preserve">we find that the </w:t>
      </w:r>
      <w:r>
        <w:t>restricted model is more efficient than the full model on the subsample</w:t>
      </w:r>
      <w:r w:rsidR="00FD1C39">
        <w:t xml:space="preserve">. This </w:t>
      </w:r>
      <w:r>
        <w:t>outcome is theoretically consistent with IIA holding and rules out an IIA violation. The binary logit robustness in Section 5.4, which restricts attention to non-explosive observations and eliminates the cross-category IIA concern, provides an additional specification check. A nested logit with {{stationary, unit root}} as one nest and {{explosive}} as the other would relax IIA at the cost of additional parametric structure and is left for future work.</w:t>
      </w:r>
    </w:p>
    <w:p w14:paraId="7EA3FF1A" w14:textId="56D9F106" w:rsidR="002E65B3" w:rsidRDefault="00000000" w:rsidP="00B830BC">
      <w:pPr>
        <w:jc w:val="both"/>
      </w:pPr>
      <w:r>
        <w:t>A third limitation concerns inference in the presence of rare events. The explosive regime comprises only 5.5 percent of the sample</w:t>
      </w:r>
      <w:r w:rsidR="00B830BC">
        <w:t>,</w:t>
      </w:r>
      <w:r w:rsidR="00FD1C39">
        <w:t xml:space="preserve"> covering</w:t>
      </w:r>
      <w:r>
        <w:t xml:space="preserve"> 134 country-years concentrated in a small number of economies (principally Israel, Hungary, Malaysia, Germany, and Armenia). All MNL coefficient estimates for the explosive equation rely </w:t>
      </w:r>
      <w:r w:rsidR="00FD1C39">
        <w:t xml:space="preserve">on </w:t>
      </w:r>
      <w:r>
        <w:t>this geographically concentrated reference group, raising concerns about small-sample bias in the explosive-equation parameters and sensitivity to influential observations. A fully rigorous treatment would include leave-one-country-out and leave-one-region-out sensitivity analysis and a Firth penalized logistic regression for the binary explosive-versus-non-explosive</w:t>
      </w:r>
      <w:r w:rsidR="00B830BC">
        <w:t xml:space="preserve"> </w:t>
      </w:r>
      <w:r>
        <w:t>contrast</w:t>
      </w:r>
      <w:r w:rsidR="00B830BC">
        <w:t>.</w:t>
      </w:r>
      <w:r>
        <w:t xml:space="preserve"> </w:t>
      </w:r>
      <w:r w:rsidR="00B830BC">
        <w:t>T</w:t>
      </w:r>
      <w:r>
        <w:t>hese extensions are left for future work. The lagged exchange rate robustness (Section 5.3.3) and the binary logit exercise (Section 5.4) provide partial assurance that the headline finding is not driven by a single influential country, but they do not constitute a full rare-events robustness analysis.</w:t>
      </w:r>
    </w:p>
    <w:p w14:paraId="5C507AA0" w14:textId="5D142E51" w:rsidR="002B2EA0" w:rsidRDefault="002B2EA0" w:rsidP="002B2EA0">
      <w:pPr>
        <w:spacing w:after="0"/>
        <w:jc w:val="both"/>
        <w:rPr>
          <w:b/>
          <w:bCs/>
        </w:rPr>
      </w:pPr>
      <w:r w:rsidRPr="001906B6">
        <w:rPr>
          <w:b/>
          <w:bCs/>
        </w:rPr>
        <w:t>5</w:t>
      </w:r>
      <w:r w:rsidRPr="0073265E">
        <w:rPr>
          <w:rFonts w:eastAsia="Times New Roman"/>
          <w:b/>
          <w:bCs/>
        </w:rPr>
        <w:t>.</w:t>
      </w:r>
      <w:r>
        <w:rPr>
          <w:rFonts w:eastAsia="Times New Roman"/>
          <w:b/>
          <w:bCs/>
        </w:rPr>
        <w:t>2</w:t>
      </w:r>
      <w:r w:rsidRPr="0073265E">
        <w:rPr>
          <w:rFonts w:eastAsia="Times New Roman"/>
          <w:b/>
          <w:bCs/>
        </w:rPr>
        <w:t xml:space="preserve"> </w:t>
      </w:r>
      <w:r>
        <w:rPr>
          <w:b/>
          <w:bCs/>
        </w:rPr>
        <w:t>Baseline Results</w:t>
      </w:r>
    </w:p>
    <w:p w14:paraId="63F41714" w14:textId="1682D418" w:rsidR="002B2EA0" w:rsidRPr="007347B7" w:rsidRDefault="002B2EA0" w:rsidP="002B2EA0">
      <w:pPr>
        <w:spacing w:after="0"/>
        <w:jc w:val="both"/>
        <w:rPr>
          <w:rFonts w:eastAsia="Times New Roman"/>
          <w:bCs/>
        </w:rPr>
      </w:pPr>
      <w:r w:rsidRPr="001906B6">
        <w:rPr>
          <w:b/>
          <w:bCs/>
        </w:rPr>
        <w:t>5</w:t>
      </w:r>
      <w:r w:rsidRPr="0073265E">
        <w:rPr>
          <w:rFonts w:eastAsia="Times New Roman"/>
          <w:b/>
          <w:bCs/>
        </w:rPr>
        <w:t>.</w:t>
      </w:r>
      <w:r>
        <w:rPr>
          <w:rFonts w:eastAsia="Times New Roman"/>
          <w:b/>
          <w:bCs/>
        </w:rPr>
        <w:t>2</w:t>
      </w:r>
      <w:r w:rsidRPr="0073265E">
        <w:rPr>
          <w:rFonts w:eastAsia="Times New Roman"/>
          <w:b/>
          <w:bCs/>
        </w:rPr>
        <w:t>.</w:t>
      </w:r>
      <w:r>
        <w:rPr>
          <w:rFonts w:eastAsia="Times New Roman"/>
          <w:b/>
          <w:bCs/>
        </w:rPr>
        <w:t>1</w:t>
      </w:r>
      <w:r w:rsidRPr="0073265E">
        <w:rPr>
          <w:rFonts w:eastAsia="Times New Roman"/>
          <w:b/>
          <w:bCs/>
        </w:rPr>
        <w:t xml:space="preserve"> </w:t>
      </w:r>
      <w:r>
        <w:rPr>
          <w:b/>
          <w:bCs/>
        </w:rPr>
        <w:t>Coefficient Estimates</w:t>
      </w:r>
    </w:p>
    <w:p w14:paraId="19C4C41C" w14:textId="5BFFB7C4" w:rsidR="00C273FB" w:rsidRPr="00C273FB" w:rsidRDefault="3F82F0DF" w:rsidP="00B830BC">
      <w:pPr>
        <w:jc w:val="both"/>
      </w:pPr>
      <w:r>
        <w:t>Table 4 reports multinomial logit coefficient estimates for the preferred specification, with the explosive regime as the reference category and country clustered standard errors throughout.</w:t>
      </w:r>
    </w:p>
    <w:p w14:paraId="6C19F441" w14:textId="6518E217" w:rsidR="00C273FB" w:rsidRPr="00C273FB" w:rsidRDefault="00C273FB" w:rsidP="00B830BC">
      <w:pPr>
        <w:jc w:val="both"/>
      </w:pPr>
      <w:r w:rsidRPr="00C273FB">
        <w:t>Two variables emerge as the strongest and most robust predictors of regime membership. The first is the fixed exchange rate indicator.</w:t>
      </w:r>
      <w:r w:rsidRPr="00C273FB">
        <w:rPr>
          <w:rFonts w:ascii="Segoe UI" w:eastAsia="Times New Roman" w:hAnsi="Segoe UI" w:cs="Segoe UI"/>
          <w:sz w:val="21"/>
          <w:szCs w:val="21"/>
        </w:rPr>
        <w:t xml:space="preserve"> </w:t>
      </w:r>
      <w:r w:rsidRPr="00C273FB">
        <w:t>Countries operating under fixed exchange rate arrangements are significantly more likely to exhibit stationary or unit root current account behavior than explosive divergence. The estimated coefficients are large and statistically significant in both equations.</w:t>
      </w:r>
    </w:p>
    <w:p w14:paraId="4875C08C" w14:textId="77777777" w:rsidR="00C273FB" w:rsidRPr="00C273FB" w:rsidRDefault="00C273FB" w:rsidP="00B830BC">
      <w:pPr>
        <w:jc w:val="both"/>
      </w:pPr>
      <w:r w:rsidRPr="00C273FB">
        <w:t xml:space="preserve">This result is consistent with the disciplining role of exchange rate pegs. Under a fixed exchange rate commitment, defending the peg requires policy adjustment when capital outflows threaten the reserve position. Such adjustment typically involves tightening fiscal or monetary policy, which compresses domestic demand and limits the scope for explosive current account deterioration. The mechanism is </w:t>
      </w:r>
      <w:r w:rsidRPr="00C273FB">
        <w:lastRenderedPageBreak/>
        <w:t>asymmetric. A peg constrains deficit dynamics but does not prevent surplus accumulation. This asymmetry may explain why pegged economies tend to avoid explosive deficit episodes.</w:t>
      </w:r>
    </w:p>
    <w:p w14:paraId="0B717271" w14:textId="77777777" w:rsidR="00C273FB" w:rsidRPr="00C273FB" w:rsidRDefault="00C273FB" w:rsidP="00B830BC">
      <w:pPr>
        <w:jc w:val="both"/>
      </w:pPr>
      <w:r w:rsidRPr="00C273FB">
        <w:t>The second key predictor is the manufacturing exporter indicator. Countries classified as manufacturing exporters are significantly less likely to be in the stationary or unit root regimes relative to the explosive category. This pattern suggests that specialization in manufactured exports is associated with current account dynamics that are more prone to explosive behavior. One possible interpretation is that manufacturing exporters face more elastic global demand and stronger competitive pressures, which can amplify external adjustment dynamics.</w:t>
      </w:r>
    </w:p>
    <w:p w14:paraId="1A401C0A" w14:textId="5C76444F" w:rsidR="00C273FB" w:rsidRPr="00C273FB" w:rsidRDefault="3F82F0DF" w:rsidP="00B830BC">
      <w:pPr>
        <w:jc w:val="both"/>
      </w:pPr>
      <w:r>
        <w:t>Trade openness enters negatively and significantly in both equations. More open economies are less likely to be in the stationary or unit root regimes relative to the explosive category. The lagged fiscal balance enters positively in the unit root equation and is marginally significant. This result suggests that stronger medium term fiscal positions are associated with persistent but bounded current account dynamics rather than explosive divergence. The current account deficit indicator is positive and marginally significant in the stationary equation only, which is consistent with faster rebalancing pressure in deficit countries.</w:t>
      </w:r>
    </w:p>
    <w:p w14:paraId="729D5D4B" w14:textId="4B5FABAB" w:rsidR="009C7570" w:rsidRDefault="001906B6" w:rsidP="009861B4">
      <w:pPr>
        <w:jc w:val="center"/>
      </w:pPr>
      <w:r w:rsidRPr="001906B6">
        <w:drawing>
          <wp:inline distT="0" distB="0" distL="0" distR="0" wp14:anchorId="574D10F0" wp14:editId="0743B411">
            <wp:extent cx="4676140" cy="5136515"/>
            <wp:effectExtent l="0" t="0" r="0" b="0"/>
            <wp:docPr id="770087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76140" cy="5136515"/>
                    </a:xfrm>
                    <a:prstGeom prst="rect">
                      <a:avLst/>
                    </a:prstGeom>
                    <a:noFill/>
                    <a:ln>
                      <a:noFill/>
                    </a:ln>
                  </pic:spPr>
                </pic:pic>
              </a:graphicData>
            </a:graphic>
          </wp:inline>
        </w:drawing>
      </w:r>
    </w:p>
    <w:p w14:paraId="797840E7" w14:textId="3049A181" w:rsidR="00E93A7A" w:rsidRPr="002B2EA0" w:rsidRDefault="002B2EA0" w:rsidP="002B2EA0">
      <w:pPr>
        <w:spacing w:before="100" w:beforeAutospacing="1" w:after="0"/>
        <w:jc w:val="both"/>
        <w:rPr>
          <w:b/>
          <w:bCs/>
        </w:rPr>
      </w:pPr>
      <w:r w:rsidRPr="002B2EA0">
        <w:rPr>
          <w:b/>
          <w:bCs/>
        </w:rPr>
        <w:lastRenderedPageBreak/>
        <w:t xml:space="preserve">5.2.2 Average </w:t>
      </w:r>
      <w:r>
        <w:rPr>
          <w:b/>
          <w:bCs/>
        </w:rPr>
        <w:t>M</w:t>
      </w:r>
      <w:r w:rsidRPr="002B2EA0">
        <w:rPr>
          <w:b/>
          <w:bCs/>
        </w:rPr>
        <w:t xml:space="preserve">arginal </w:t>
      </w:r>
      <w:r>
        <w:rPr>
          <w:b/>
          <w:bCs/>
        </w:rPr>
        <w:t>E</w:t>
      </w:r>
      <w:r w:rsidRPr="002B2EA0">
        <w:rPr>
          <w:b/>
          <w:bCs/>
        </w:rPr>
        <w:t>ffects</w:t>
      </w:r>
    </w:p>
    <w:p w14:paraId="550BAA96" w14:textId="77777777" w:rsidR="00C273FB" w:rsidRPr="00C273FB" w:rsidRDefault="00000000" w:rsidP="00B830BC">
      <w:pPr>
        <w:jc w:val="both"/>
      </w:pPr>
      <w:r>
        <w:t xml:space="preserve">Table 5 reports average marginal effects (AMEs), computed as the sample mean of individual-specific marginal effects. </w:t>
      </w:r>
      <w:r w:rsidR="00C273FB" w:rsidRPr="00C273FB">
        <w:t>These estimates quantify the change in regime probabilities associated with changes in each covariate, holding all other variables at their observed values.</w:t>
      </w:r>
    </w:p>
    <w:p w14:paraId="1BFA839A" w14:textId="4FCBAFE9" w:rsidR="009861B4" w:rsidRDefault="001906B6" w:rsidP="001906B6">
      <w:pPr>
        <w:jc w:val="center"/>
      </w:pPr>
      <w:r w:rsidRPr="001906B6">
        <w:drawing>
          <wp:inline distT="0" distB="0" distL="0" distR="0" wp14:anchorId="1EA9CA19" wp14:editId="33A15878">
            <wp:extent cx="5879465" cy="4277360"/>
            <wp:effectExtent l="0" t="0" r="6985" b="0"/>
            <wp:docPr id="9907763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79465" cy="4277360"/>
                    </a:xfrm>
                    <a:prstGeom prst="rect">
                      <a:avLst/>
                    </a:prstGeom>
                    <a:noFill/>
                    <a:ln>
                      <a:noFill/>
                    </a:ln>
                  </pic:spPr>
                </pic:pic>
              </a:graphicData>
            </a:graphic>
          </wp:inline>
        </w:drawing>
      </w:r>
    </w:p>
    <w:p w14:paraId="3CBDBCCF" w14:textId="77777777" w:rsidR="00C273FB" w:rsidRPr="00C273FB" w:rsidRDefault="00C273FB" w:rsidP="00B830BC">
      <w:pPr>
        <w:jc w:val="both"/>
      </w:pPr>
      <w:r w:rsidRPr="00C273FB">
        <w:t>The marginal effects reveal a clear asymmetry in the model’s explanatory power. Fixed exchange rate arrangements are associated with a reduction in the probability of the explosive regime of approximately 9.1 percentage points. This effect is economically large, given that the unconditional probability of the explosive regime is only 5.5 percent. Trade openness has the opposite effect. A one-standard-deviation increase in openness raises the probability of explosive dynamics by roughly 4.7 percentage points.</w:t>
      </w:r>
    </w:p>
    <w:p w14:paraId="56013664" w14:textId="634522E0" w:rsidR="00C273FB" w:rsidRPr="00C273FB" w:rsidRDefault="00C273FB" w:rsidP="00B830BC">
      <w:pPr>
        <w:jc w:val="both"/>
      </w:pPr>
      <w:r w:rsidRPr="00C273FB">
        <w:t xml:space="preserve">No other covariate generates a statistically significant marginal effect on any regime probability. </w:t>
      </w:r>
      <w:r w:rsidR="001E2765" w:rsidRPr="00C273FB">
        <w:t>None</w:t>
      </w:r>
      <w:r w:rsidRPr="00C273FB">
        <w:t xml:space="preserve"> of the variables significantly </w:t>
      </w:r>
      <w:r w:rsidR="001E2765" w:rsidRPr="00C273FB">
        <w:t>affect</w:t>
      </w:r>
      <w:r w:rsidRPr="00C273FB">
        <w:t xml:space="preserve"> the probability of being in the stationary or unit root regimes when these outcomes are considered separately. This pattern indicates that the model primarily explains differences between explosive and non</w:t>
      </w:r>
      <w:r w:rsidRPr="00C273FB">
        <w:noBreakHyphen/>
        <w:t>explosive dynamics, rather than variation within the stable regime space.</w:t>
      </w:r>
    </w:p>
    <w:p w14:paraId="7334FF88" w14:textId="47E50361" w:rsidR="00DE4F49" w:rsidRDefault="00C273FB" w:rsidP="00CD6291">
      <w:pPr>
        <w:jc w:val="both"/>
      </w:pPr>
      <w:r w:rsidRPr="00C273FB">
        <w:t xml:space="preserve">Table C1 in the Appendix reports a confusion matrix for the baseline model. Overall, in-sample classification accuracy is 59.8 percent, compared to a base-rate accuracy of 56.1 percent. The model correctly classifies unit root observations with high recall but has very limited ability to identify explosive episodes: explosive recall is approximately 3 percent, meaning the model correctly identifies only about 4 of the 134 explosive country-years in-sample. This reflects the rarity of the explosive regime in the </w:t>
      </w:r>
      <w:r w:rsidRPr="00C273FB">
        <w:lastRenderedPageBreak/>
        <w:t>sample. The multinomial logit therefore captures probability gradients rather than functioning as a high-accuracy classifier. Country-grouped</w:t>
      </w:r>
      <w:r w:rsidR="001E2765">
        <w:t xml:space="preserve">, </w:t>
      </w:r>
      <w:r w:rsidRPr="00C273FB">
        <w:t>five-fold cross-validation yields a mean log-loss of 0.945, indicating modest but meaningful out-of-sample predictive content. It is important to distinguish coefficient significance from predictive performance: the statistical significance of the exchange rate regime coefficient reflects a systematic shift in the probability distribution of regime outcomes, not a reliable ability to flag individual explosive episodes. A variable can strongly shift the probability of a rare event without enabling accurate event-by-event prediction, and the confusion matrix confirms that this is the case here.</w:t>
      </w:r>
    </w:p>
    <w:p w14:paraId="3E7917CB" w14:textId="37BF7D00" w:rsidR="002B2EA0" w:rsidRDefault="002B2EA0" w:rsidP="002B2EA0">
      <w:pPr>
        <w:pStyle w:val="ListParagraph"/>
        <w:numPr>
          <w:ilvl w:val="1"/>
          <w:numId w:val="16"/>
        </w:numPr>
        <w:spacing w:before="100" w:beforeAutospacing="1" w:after="100" w:afterAutospacing="1"/>
        <w:jc w:val="both"/>
        <w:rPr>
          <w:b/>
          <w:bCs/>
        </w:rPr>
      </w:pPr>
      <w:r w:rsidRPr="002B2EA0">
        <w:rPr>
          <w:b/>
          <w:bCs/>
        </w:rPr>
        <w:t>Robustness Checks</w:t>
      </w:r>
    </w:p>
    <w:p w14:paraId="12479AB7" w14:textId="60EF13D0" w:rsidR="002B2EA0" w:rsidRPr="002B2EA0" w:rsidRDefault="002B2EA0" w:rsidP="002B2EA0">
      <w:pPr>
        <w:pStyle w:val="ListParagraph"/>
        <w:spacing w:before="100" w:beforeAutospacing="1" w:after="100" w:afterAutospacing="1"/>
        <w:ind w:left="0"/>
        <w:jc w:val="both"/>
        <w:rPr>
          <w:b/>
          <w:bCs/>
        </w:rPr>
      </w:pPr>
      <w:r w:rsidRPr="002B2EA0">
        <w:rPr>
          <w:b/>
          <w:bCs/>
        </w:rPr>
        <w:t>5.3.1 Year Fixed Effects and Crisis Dummies</w:t>
      </w:r>
    </w:p>
    <w:p w14:paraId="6FE6A9AD" w14:textId="477E11FD" w:rsidR="009321CF" w:rsidRDefault="00000000" w:rsidP="00B830BC">
      <w:pPr>
        <w:jc w:val="both"/>
      </w:pPr>
      <w:r>
        <w:t>Table 6 summarizes fit statistics across the full set of candidate specifications. Year fixed effects are not supported by the data: models with full annual time dummies consistently produce higher BIC</w:t>
      </w:r>
      <w:r w:rsidR="00447F58">
        <w:t xml:space="preserve"> per an </w:t>
      </w:r>
      <w:r>
        <w:t>ob</w:t>
      </w:r>
      <w:r w:rsidR="00447F58">
        <w:t>servation</w:t>
      </w:r>
      <w:r>
        <w:t xml:space="preserve">, and the contemporaneous openness specification with year FE fails to converge entirely. The year-FE penalty arises because the parameter count expands substantially with no commensurate improvement in fit, consistent with regime dynamics being driven primarily by cross-sectional structural differences rather than common time trends. </w:t>
      </w:r>
    </w:p>
    <w:p w14:paraId="14B48E75" w14:textId="71B7F6CF" w:rsidR="009861B4" w:rsidRDefault="00C824D3">
      <w:r w:rsidRPr="00C824D3">
        <w:drawing>
          <wp:inline distT="0" distB="0" distL="0" distR="0" wp14:anchorId="284025F8" wp14:editId="34923088">
            <wp:extent cx="6400800" cy="2258060"/>
            <wp:effectExtent l="0" t="0" r="0" b="0"/>
            <wp:docPr id="13610389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400800" cy="2258060"/>
                    </a:xfrm>
                    <a:prstGeom prst="rect">
                      <a:avLst/>
                    </a:prstGeom>
                    <a:noFill/>
                    <a:ln>
                      <a:noFill/>
                    </a:ln>
                  </pic:spPr>
                </pic:pic>
              </a:graphicData>
            </a:graphic>
          </wp:inline>
        </w:drawing>
      </w:r>
    </w:p>
    <w:p w14:paraId="13042F3D" w14:textId="3009F206" w:rsidR="009321CF" w:rsidRDefault="00000000" w:rsidP="00B830BC">
      <w:pPr>
        <w:jc w:val="both"/>
      </w:pPr>
      <w:r>
        <w:t>As a direct test of this conclusion, we include indicator variables for the Global Financial Crisis (2008–2009) and the COVID-19 shock (2020–2021) — the two largest identifiable global disturbances in the sample period. The targeted crisis dummies add only two parameters and produce BIC</w:t>
      </w:r>
      <w:r w:rsidR="00447F58">
        <w:t xml:space="preserve"> per an observation equal to</w:t>
      </w:r>
      <w:r>
        <w:t xml:space="preserve"> 1.673, marginally worse than the baseline (1.661), with no meaningful change in the structural coefficient estimates. Neither crisis dummy is significant at conventional levels. This confirms that the structural variables absorb the relevant cross-country variation in regime behavior and that no residual global shock effect remains once these covariates are controlled.</w:t>
      </w:r>
    </w:p>
    <w:p w14:paraId="747E7204" w14:textId="018124A1" w:rsidR="002E65B3" w:rsidRDefault="00000000" w:rsidP="00B830BC">
      <w:pPr>
        <w:jc w:val="both"/>
      </w:pPr>
      <w:r>
        <w:t>The financial development gap specification yields a modest improvement in McFadden R² (0.067 versus 0.050) but reduces the estimation sample by approximately 16 percent due to missing financial development data (n = 2,064 versus n = 2,451 for the baseline). Given the cost in sample coverage relative to the marginal gain in fit, this variable is excluded from the preferred specification. A comparability caveat applies to BIC</w:t>
      </w:r>
      <w:r w:rsidR="00447F58">
        <w:t xml:space="preserve"> per an </w:t>
      </w:r>
      <w:r w:rsidR="00BB0B2E">
        <w:t>observation value</w:t>
      </w:r>
      <w:r>
        <w:t xml:space="preserve"> across specifications with different estimation samples: </w:t>
      </w:r>
      <w:r>
        <w:lastRenderedPageBreak/>
        <w:t>because BIC</w:t>
      </w:r>
      <w:r w:rsidR="00824DD2">
        <w:t xml:space="preserve"> per an observation</w:t>
      </w:r>
      <w:r>
        <w:t xml:space="preserve"> is computed on distinct observation sets, the values are not strictly comparable. Readers should interpret the cross-specification BIC comparison as indicative rather than definitive for models estimated on different samples.</w:t>
      </w:r>
    </w:p>
    <w:p w14:paraId="00872B64" w14:textId="11DC25E9" w:rsidR="00E93A7A" w:rsidRPr="009321CF" w:rsidRDefault="00447F58" w:rsidP="009321CF">
      <w:pPr>
        <w:rPr>
          <w:b/>
          <w:bCs/>
        </w:rPr>
      </w:pPr>
      <w:r w:rsidRPr="009321CF">
        <w:rPr>
          <w:b/>
          <w:bCs/>
        </w:rPr>
        <w:t>5.3.2 Oil</w:t>
      </w:r>
      <w:r w:rsidR="009321CF" w:rsidRPr="009321CF">
        <w:rPr>
          <w:b/>
          <w:bCs/>
        </w:rPr>
        <w:t xml:space="preserve"> Exporter Robustness</w:t>
      </w:r>
    </w:p>
    <w:p w14:paraId="5C983EB1" w14:textId="77777777" w:rsidR="00E93A7A" w:rsidRDefault="00000000" w:rsidP="00B830BC">
      <w:pPr>
        <w:jc w:val="both"/>
      </w:pPr>
      <w:r>
        <w:t>Replacing the commodity exporter dummy with a more narrowly defined oil exporter indicator cannot be implemented as a full MNL robustness check. The oil exporter dummy covers only 40 country-year observations and exhibits complete separation in the unit root equation: none of the 40 oil-exporter observations are classified as unit root. With P(Unit Root | oil = 1) = 0 in the data, the unit root equation parameters are unidentified and the MNL estimator cannot produce finite estimates. This is a data constraint, not a convergence failure.</w:t>
      </w:r>
    </w:p>
    <w:p w14:paraId="306FADBF" w14:textId="77777777" w:rsidR="009321CF" w:rsidRDefault="00000000" w:rsidP="00B830BC">
      <w:pPr>
        <w:jc w:val="both"/>
      </w:pPr>
      <w:r>
        <w:t>The regime distribution among oil exporters is itself informative: 13 observations (32.5%) fall in the explosive regime and 27 (67.5%) in the stationary regime, with zero in the unit root regime. This pattern suggests that oil exporters face a sharper binary dynamic — either explosive external imbalance or rapid mean reversion — with no tendency toward persistent but bounded current account dynamics. We retain the broader commodity exporter classification in the baseline and note this finding as a descriptive result warranting future research with a larger sample of oil-exporting countries.</w:t>
      </w:r>
    </w:p>
    <w:p w14:paraId="533BEDFB" w14:textId="7AA4708C" w:rsidR="00DE4F49" w:rsidRDefault="00447F58" w:rsidP="00DC6DB1">
      <w:r w:rsidRPr="00DC6DB1">
        <w:rPr>
          <w:b/>
          <w:bCs/>
        </w:rPr>
        <w:t>5.3.3 Lagged Exchange Rate Regime</w:t>
      </w:r>
      <w:r>
        <w:br/>
      </w:r>
      <w:r>
        <w:br/>
        <w:t>As an additional robustness check addressing potential endogeneity of the contemporaneous exchange rate regime indicator, we re-estimate the baseline specification replacing the fixed exchange rate variable with its one-period within-country lag. Under fixed rates, countries that experience explosive current account dynamics may abandon their pegs in the same period, creating reverse causality that would inflate the contemporaneous coefficient. Lagging the exchange rate variable by one year breaks this within-period simultaneity.</w:t>
      </w:r>
      <w:r>
        <w:br/>
      </w:r>
      <w:r>
        <w:br/>
        <w:t>The lagged specification produces nearly identical results. The fixed exchange rate coefficients are marginally larger in both equations (beta = 1.97 and 2.04 versus 1.87 and 1.98 in the baseline), and BIC per an observation marginally improves (1.659 versus 1.661). The average marginal effect on the explosive regime is -0.094 (p = 0.029), compared to -0.091 (p = 0.044) in the baseline — directionally identical and statistically equivalent. Cross-validated log-loss is virtually unchanged (0.945 versus 0.945). This confirms that the fixed exchange rate finding is not an artifact of contemporaneous reverse causality.</w:t>
      </w:r>
    </w:p>
    <w:p w14:paraId="30279F97" w14:textId="2052C54D" w:rsidR="00E93A7A" w:rsidRPr="009321CF" w:rsidRDefault="00447F58" w:rsidP="009321CF">
      <w:pPr>
        <w:rPr>
          <w:b/>
          <w:bCs/>
        </w:rPr>
      </w:pPr>
      <w:r w:rsidRPr="009321CF">
        <w:rPr>
          <w:b/>
          <w:bCs/>
        </w:rPr>
        <w:t>5.4 Binary</w:t>
      </w:r>
      <w:r w:rsidR="009321CF" w:rsidRPr="009321CF">
        <w:rPr>
          <w:b/>
          <w:bCs/>
        </w:rPr>
        <w:t xml:space="preserve"> Logit Robustness</w:t>
      </w:r>
    </w:p>
    <w:p w14:paraId="7B22263D" w14:textId="77777777" w:rsidR="00E93A7A" w:rsidRDefault="00000000" w:rsidP="00DC6DB1">
      <w:pPr>
        <w:jc w:val="both"/>
      </w:pPr>
      <w:r>
        <w:t xml:space="preserve">The explosive regime comprises only 134 observations (5.5% of the sample). All MNL coefficient estimates therefore reflect contrasts relative to this small reference group, raising the question of whether the baseline results are driven by the explosive-versus-all-others split or reflect genuine differentiation among all three regimes. We address this by estimating a binary logit model on the 2,317 non-explosive observations only. The explosive regime is geographically concentrated: Israel (48 country-year observations), Hungary (20), Malaysia (18), Germany (15), and Armenia (13) together account for the </w:t>
      </w:r>
      <w:r>
        <w:lastRenderedPageBreak/>
        <w:t>majority of explosive episodes, spanning both chronic-deficit trajectories (Hungary, Armenia) and persistent-surplus ones (Malaysia, Germany).</w:t>
      </w:r>
    </w:p>
    <w:p w14:paraId="47E9B809" w14:textId="77777777" w:rsidR="009C7570" w:rsidRDefault="00000000" w:rsidP="00DC6DB1">
      <w:pPr>
        <w:jc w:val="both"/>
      </w:pPr>
      <w:r>
        <w:t xml:space="preserve">We drop the 134 explosive observations and estimate a binary logit with unit root as the positive outcome (y = 1) and stationary as the negative outcome (y = 0), using the same six structural regressors and country-clustered standard errors as the baseline MNL. </w:t>
      </w:r>
    </w:p>
    <w:p w14:paraId="11845DDF" w14:textId="369B9057" w:rsidR="009C7570" w:rsidRDefault="00C824D3" w:rsidP="00C824D3">
      <w:pPr>
        <w:jc w:val="center"/>
      </w:pPr>
      <w:r w:rsidRPr="00C824D3">
        <w:drawing>
          <wp:inline distT="0" distB="0" distL="0" distR="0" wp14:anchorId="47723546" wp14:editId="65EC5591">
            <wp:extent cx="4946650" cy="3123565"/>
            <wp:effectExtent l="0" t="0" r="6350" b="635"/>
            <wp:docPr id="7007033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46650" cy="3123565"/>
                    </a:xfrm>
                    <a:prstGeom prst="rect">
                      <a:avLst/>
                    </a:prstGeom>
                    <a:noFill/>
                    <a:ln>
                      <a:noFill/>
                    </a:ln>
                  </pic:spPr>
                </pic:pic>
              </a:graphicData>
            </a:graphic>
          </wp:inline>
        </w:drawing>
      </w:r>
    </w:p>
    <w:p w14:paraId="78F9EFED" w14:textId="4CAFDB7E" w:rsidR="00E93A7A" w:rsidRDefault="00000000" w:rsidP="00DC6DB1">
      <w:pPr>
        <w:jc w:val="both"/>
      </w:pPr>
      <w:r>
        <w:t>None of the six regressors attain statistical significance in the binary logit (all p &gt; 0.25). This finding has a precise interpretation: the structural variables in the baseline MNL primarily explain which countries avoid explosive current account dynamics, not what drives stationary versus unit root behavior within the non-explosive group. Exchange rate arrangements, trade openness, and manufacturing export structure effectively predict whether a country's current account is prone to explosive divergence; they do not differentiate between mean-reverting and persistently stable dynamics among countries already in the non-explosive group.</w:t>
      </w:r>
    </w:p>
    <w:p w14:paraId="6272C9B0" w14:textId="77777777" w:rsidR="00447F58" w:rsidRDefault="00000000" w:rsidP="00447F58">
      <w:pPr>
        <w:jc w:val="both"/>
      </w:pPr>
      <w:r>
        <w:t xml:space="preserve">This result does not undermine the MNL findings </w:t>
      </w:r>
      <w:r w:rsidR="00DC6DB1">
        <w:t>but rather</w:t>
      </w:r>
      <w:r>
        <w:t xml:space="preserve"> it refines their interpretation. The baseline MNL should be read primarily as a classifier of explosive versus non-explosive regime propensity. The stationary-unit root contrast is a secondary outcome, and the absence of significant binary-logit predictors points to a research agenda on </w:t>
      </w:r>
      <w:commentRangeStart w:id="11"/>
      <w:r>
        <w:t xml:space="preserve">within-stable-regime persistence </w:t>
      </w:r>
      <w:commentRangeEnd w:id="11"/>
      <w:r w:rsidR="00DC6DB1">
        <w:rPr>
          <w:rStyle w:val="CommentReference"/>
          <w:sz w:val="24"/>
          <w:szCs w:val="22"/>
        </w:rPr>
        <w:commentReference w:id="11"/>
      </w:r>
      <w:r>
        <w:t>that likely requires covariates capturing financial market depth, creditor composition, or country-specific institutional features not available at this scale.</w:t>
      </w:r>
    </w:p>
    <w:p w14:paraId="5B785762" w14:textId="43D02466" w:rsidR="009321CF" w:rsidRPr="00447F58" w:rsidRDefault="00447F58" w:rsidP="00447F58">
      <w:pPr>
        <w:jc w:val="both"/>
      </w:pPr>
      <w:r w:rsidRPr="009321CF">
        <w:rPr>
          <w:b/>
          <w:bCs/>
        </w:rPr>
        <w:t xml:space="preserve">5.5 Subgroup </w:t>
      </w:r>
      <w:r w:rsidR="009321CF" w:rsidRPr="009321CF">
        <w:rPr>
          <w:b/>
          <w:bCs/>
        </w:rPr>
        <w:t>H</w:t>
      </w:r>
      <w:r w:rsidRPr="009321CF">
        <w:rPr>
          <w:b/>
          <w:bCs/>
        </w:rPr>
        <w:t>eterogeneity</w:t>
      </w:r>
    </w:p>
    <w:p w14:paraId="209E4D48" w14:textId="67A35260" w:rsidR="00E93A7A" w:rsidRPr="009321CF" w:rsidRDefault="00447F58" w:rsidP="009321CF">
      <w:pPr>
        <w:pStyle w:val="ListParagraph"/>
        <w:ind w:left="0"/>
        <w:rPr>
          <w:b/>
          <w:bCs/>
        </w:rPr>
      </w:pPr>
      <w:r w:rsidRPr="009321CF">
        <w:rPr>
          <w:b/>
          <w:bCs/>
        </w:rPr>
        <w:t>5.5.1 Income</w:t>
      </w:r>
      <w:r w:rsidR="009321CF" w:rsidRPr="009321CF">
        <w:rPr>
          <w:b/>
          <w:bCs/>
        </w:rPr>
        <w:t xml:space="preserve"> Groups</w:t>
      </w:r>
    </w:p>
    <w:p w14:paraId="49280273" w14:textId="4A8867BB" w:rsidR="00E572C5" w:rsidRDefault="00000000">
      <w:r>
        <w:t xml:space="preserve">We re-estimate the baseline specification separately for three income subgroups: advanced economies (23 countries, 1,041 observations), emerging markets (28 countries, 903 observations), and low-income </w:t>
      </w:r>
      <w:r>
        <w:lastRenderedPageBreak/>
        <w:t xml:space="preserve">developing countries (23 countries, 507 observations). </w:t>
      </w:r>
      <w:r w:rsidR="00AA52AD">
        <w:t>Table 8 presents the fit comparison across these sub-groups, as well as the coefficients estimates for the emerging market economies.</w:t>
      </w:r>
    </w:p>
    <w:p w14:paraId="740795A7" w14:textId="7D66BAD2" w:rsidR="00E93A7A" w:rsidRDefault="00000000">
      <w:r>
        <w:t xml:space="preserve"> </w:t>
      </w:r>
      <w:r w:rsidR="00C824D3" w:rsidRPr="00C824D3">
        <w:drawing>
          <wp:inline distT="0" distB="0" distL="0" distR="0" wp14:anchorId="4FA29B84" wp14:editId="471A18C5">
            <wp:extent cx="5879465" cy="7278370"/>
            <wp:effectExtent l="0" t="0" r="6985" b="0"/>
            <wp:docPr id="8321336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79465" cy="7278370"/>
                    </a:xfrm>
                    <a:prstGeom prst="rect">
                      <a:avLst/>
                    </a:prstGeom>
                    <a:noFill/>
                    <a:ln>
                      <a:noFill/>
                    </a:ln>
                  </pic:spPr>
                </pic:pic>
              </a:graphicData>
            </a:graphic>
          </wp:inline>
        </w:drawing>
      </w:r>
    </w:p>
    <w:p w14:paraId="62050C7B" w14:textId="37B6FD85" w:rsidR="00E93A7A" w:rsidRDefault="00000000" w:rsidP="006C7B1D">
      <w:pPr>
        <w:jc w:val="both"/>
      </w:pPr>
      <w:r>
        <w:lastRenderedPageBreak/>
        <w:t>The income-group results reveal pronounced heterogeneity. Model fit is dramatically higher for emerging market economies (McFadden R² = 0.186) than for the full sample (0.050</w:t>
      </w:r>
      <w:r w:rsidR="00C824D3">
        <w:t>), a</w:t>
      </w:r>
      <w:r>
        <w:t xml:space="preserve"> nearly four-fold improvement. This indicates that structural policy variables are far more powerful predictors of current account regime dynamics in emerging markets than in advanced or low-income economies.</w:t>
      </w:r>
    </w:p>
    <w:p w14:paraId="40B0C693" w14:textId="0F28B041" w:rsidR="009321CF" w:rsidRDefault="00000000" w:rsidP="006C7B1D">
      <w:pPr>
        <w:jc w:val="both"/>
      </w:pPr>
      <w:r>
        <w:t>The finding is consistent with the broader institutional literature: advanced economies possess more entrenched adjustment mechanisms</w:t>
      </w:r>
      <w:r w:rsidR="006C7B1D">
        <w:t xml:space="preserve">, including </w:t>
      </w:r>
      <w:r>
        <w:t>flexible exchange rates, deep capital markets, and credible policy framework</w:t>
      </w:r>
      <w:r w:rsidR="006C7B1D">
        <w:t>. These</w:t>
      </w:r>
      <w:r>
        <w:t xml:space="preserve"> insulate their current account dynamics from the structural policy variables under study. Low-income economies have too few explosive observations to reliably identify the explosive equation and likely exhibit dynamics dominated by aid flows, commodity dependence, and program conditionality outside our covariate set. The emerging-market result has direct policy implications: exchange rate policy and export diversification have measurable effects on the likelihood of explosive external imbalances in precisely the group of countries where such imbalances carry the greatest consequences for financial stability. An additional caveat applies to the advanced-economy subgroup: with only 23 country clusters, cluster-robust standard errors may be less reliable than in the full sample (Cameron and Miller 2015 suggest at least 30 clusters for conventional cluster-robust inference), so these results should be interpreted with additional caution.</w:t>
      </w:r>
    </w:p>
    <w:p w14:paraId="432ABEDD" w14:textId="60E4453A" w:rsidR="00E93A7A" w:rsidRPr="009321CF" w:rsidRDefault="00447F58" w:rsidP="009321CF">
      <w:pPr>
        <w:rPr>
          <w:b/>
          <w:bCs/>
        </w:rPr>
      </w:pPr>
      <w:r w:rsidRPr="009321CF">
        <w:rPr>
          <w:b/>
          <w:bCs/>
        </w:rPr>
        <w:t>5.5.2 Time</w:t>
      </w:r>
      <w:r w:rsidR="009321CF" w:rsidRPr="009321CF">
        <w:rPr>
          <w:b/>
          <w:bCs/>
        </w:rPr>
        <w:t xml:space="preserve"> Periods</w:t>
      </w:r>
    </w:p>
    <w:p w14:paraId="142FD8A8" w14:textId="77777777" w:rsidR="006C7B1D" w:rsidRDefault="00000000" w:rsidP="006C7B1D">
      <w:pPr>
        <w:jc w:val="both"/>
      </w:pPr>
      <w:r>
        <w:t xml:space="preserve">Table 9 reports results separately for the pre-GFC (before 2008) and post-GFC (2008 onward) subsamples. </w:t>
      </w:r>
      <w:r w:rsidR="009861B4">
        <w:t>Model fit more than doubles in the post-GFC period (McFadden R² from 0.042 to 0.089; BIC/obs improves from 1.692 to 1.645). Structural variables have become increasingly relevant predictors of current account regime classification since the financial crisis, consistent with heightened post-crisis international scrutiny of global imbalances. Three institutional developments are plausibly consistent with this interpretation, though they are not directly measured in the data</w:t>
      </w:r>
      <w:r w:rsidR="006C7B1D">
        <w:t>. First,</w:t>
      </w:r>
      <w:r w:rsidR="009861B4">
        <w:t xml:space="preserve"> the G20 Mutual Assessment Process (MAP, launched 2009) elevated exchange rate and current account adjustment to the cent</w:t>
      </w:r>
      <w:r w:rsidR="006C7B1D">
        <w:t>er</w:t>
      </w:r>
      <w:r w:rsidR="009861B4">
        <w:t xml:space="preserve"> of multilateral policy coordination</w:t>
      </w:r>
      <w:r w:rsidR="006C7B1D">
        <w:t>. Second, the</w:t>
      </w:r>
      <w:r w:rsidR="009861B4">
        <w:t xml:space="preserve"> IMF Article IV surveillance intensified its focus on external sector assessments and currency misalignment from 2012 onward</w:t>
      </w:r>
      <w:r w:rsidR="006C7B1D">
        <w:t>. This,</w:t>
      </w:r>
      <w:r w:rsidR="009861B4">
        <w:t xml:space="preserve"> Basel III capital and liquidity requirements (phased from 2013) increased cross-country differentiation in financial-sector capacity to sustain external imbalances, sharpening the role of exchange rate arrangements and export structure as regime determinants. </w:t>
      </w:r>
    </w:p>
    <w:p w14:paraId="426DF359" w14:textId="61805AFF" w:rsidR="009861B4" w:rsidRDefault="009861B4" w:rsidP="006C7B1D">
      <w:pPr>
        <w:jc w:val="both"/>
      </w:pPr>
      <w:r>
        <w:t>Crucially, this improvement in fit is not explained by a common post-crisis time trend</w:t>
      </w:r>
      <w:r w:rsidR="006C7B1D">
        <w:t xml:space="preserve"> and</w:t>
      </w:r>
      <w:r>
        <w:t xml:space="preserve"> the targeted crisis-dummy robustness check confirms that global shocks add no predictive value once structural covariates are controlled. One interpretatio</w:t>
      </w:r>
      <w:r w:rsidR="006C7B1D">
        <w:t xml:space="preserve">n, </w:t>
      </w:r>
      <w:r>
        <w:t>albeit not directly tested, since these institutional developments are not measured in the data</w:t>
      </w:r>
      <w:r w:rsidR="006C7B1D">
        <w:t xml:space="preserve">, </w:t>
      </w:r>
      <w:r>
        <w:t>is that the post-GFC period represents a structural change in how cross-country differences in policy frameworks translate into external regime behavior.</w:t>
      </w:r>
    </w:p>
    <w:p w14:paraId="172009A0" w14:textId="5FF86DF5" w:rsidR="00C740B6" w:rsidRDefault="00C824D3" w:rsidP="00C740B6">
      <w:r w:rsidRPr="00C824D3">
        <w:lastRenderedPageBreak/>
        <w:drawing>
          <wp:inline distT="0" distB="0" distL="0" distR="0" wp14:anchorId="590D7A65" wp14:editId="7D089773">
            <wp:extent cx="6400800" cy="6821170"/>
            <wp:effectExtent l="0" t="0" r="0" b="0"/>
            <wp:docPr id="14033873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400800" cy="6821170"/>
                    </a:xfrm>
                    <a:prstGeom prst="rect">
                      <a:avLst/>
                    </a:prstGeom>
                    <a:noFill/>
                    <a:ln>
                      <a:noFill/>
                    </a:ln>
                  </pic:spPr>
                </pic:pic>
              </a:graphicData>
            </a:graphic>
          </wp:inline>
        </w:drawing>
      </w:r>
    </w:p>
    <w:p w14:paraId="1FD85B9E" w14:textId="1F943953" w:rsidR="00E93A7A" w:rsidRPr="00C740B6" w:rsidRDefault="00AA52AD" w:rsidP="00C740B6">
      <w:pPr>
        <w:rPr>
          <w:b/>
          <w:bCs/>
        </w:rPr>
      </w:pPr>
      <w:r w:rsidRPr="00C740B6">
        <w:rPr>
          <w:b/>
          <w:bCs/>
        </w:rPr>
        <w:t>5.6 Summary</w:t>
      </w:r>
      <w:r w:rsidR="00C740B6" w:rsidRPr="00C740B6">
        <w:rPr>
          <w:b/>
          <w:bCs/>
        </w:rPr>
        <w:t xml:space="preserve"> of Main Findings</w:t>
      </w:r>
    </w:p>
    <w:p w14:paraId="4A3F866D" w14:textId="77777777" w:rsidR="00E93A7A" w:rsidRDefault="00000000" w:rsidP="006C7B1D">
      <w:pPr>
        <w:jc w:val="both"/>
      </w:pPr>
      <w:r>
        <w:t>The multinomial logit analysis yields three principal findings. First, the primary determinant of explosive current account dynamics is the exchange rate regime. Countries under fixed exchange rate arrangements are significantly and substantially less likely to enter the explosive regime, with average marginal effects indicating an approximately 9 percentage point association with lower probability of explosive behavior. This result holds consistently across specifications, income subgroups, and time periods.</w:t>
      </w:r>
    </w:p>
    <w:p w14:paraId="0214EF20" w14:textId="77777777" w:rsidR="00E93A7A" w:rsidRDefault="00000000" w:rsidP="006C7B1D">
      <w:pPr>
        <w:jc w:val="both"/>
      </w:pPr>
      <w:r>
        <w:lastRenderedPageBreak/>
        <w:t>Second, the model's explanatory power operates principally through the explosive-versus-non-explosive channel. Structural variables reliably predict whether a country is prone to explosive current account divergence but do not significantly distinguish between stationary and persistently stable behavior within the stable regime. The binary logit robustness exercise finds no significant predictors of the stationary-unit root distinction.</w:t>
      </w:r>
    </w:p>
    <w:p w14:paraId="782644D6" w14:textId="77777777" w:rsidR="00E93A7A" w:rsidRDefault="00000000" w:rsidP="006C7B1D">
      <w:pPr>
        <w:jc w:val="both"/>
      </w:pPr>
      <w:r>
        <w:t>Third, model performance is substantially higher for emerging market economies and in the post-GFC period, confirming that the structural policy variables under study are most consequential for middle-income countries and that the post-crisis international monetary environment has amplified the role of policy frameworks in determining external adjustment dynamics.</w:t>
      </w:r>
    </w:p>
    <w:p w14:paraId="3770FB41" w14:textId="0603CD1E" w:rsidR="00514562" w:rsidRPr="0073265E" w:rsidRDefault="00C740B6" w:rsidP="0073265E">
      <w:pPr>
        <w:rPr>
          <w:rFonts w:eastAsia="Times New Roman"/>
          <w:b/>
          <w:bCs/>
        </w:rPr>
      </w:pPr>
      <w:bookmarkStart w:id="12" w:name="Conclusion"/>
      <w:bookmarkStart w:id="13" w:name="_bookmark16"/>
      <w:bookmarkEnd w:id="12"/>
      <w:bookmarkEnd w:id="13"/>
      <w:r>
        <w:rPr>
          <w:rFonts w:eastAsia="Times New Roman"/>
          <w:b/>
          <w:bCs/>
        </w:rPr>
        <w:t>6</w:t>
      </w:r>
      <w:r w:rsidR="00537A08" w:rsidRPr="0073265E">
        <w:rPr>
          <w:rFonts w:eastAsia="Times New Roman"/>
          <w:b/>
          <w:bCs/>
        </w:rPr>
        <w:t xml:space="preserve">. </w:t>
      </w:r>
      <w:r w:rsidR="00514562" w:rsidRPr="0073265E">
        <w:rPr>
          <w:rFonts w:eastAsia="Times New Roman"/>
          <w:b/>
          <w:bCs/>
        </w:rPr>
        <w:t>Concl</w:t>
      </w:r>
      <w:r w:rsidR="00B75B8F" w:rsidRPr="0073265E">
        <w:rPr>
          <w:rFonts w:eastAsia="Times New Roman"/>
          <w:b/>
          <w:bCs/>
        </w:rPr>
        <w:t>uding remarks</w:t>
      </w:r>
    </w:p>
    <w:p w14:paraId="6F2BB802" w14:textId="1B627296" w:rsidR="00E93A7A" w:rsidRDefault="58085007" w:rsidP="006C7B1D">
      <w:pPr>
        <w:jc w:val="both"/>
      </w:pPr>
      <w:r>
        <w:t>This paper characterizes the dynamic adjustment behavior of current account balances across a diverse panel of 74 countries using annual data spanning 1971–2023 (with country coverage growing from a small early-adopting group to 70 or more countries from 2008 onward). Our two-stage country-specific Markov switching autoregressive models followed by a multinomial logit analysis of regime determinants yields three contributions to the literature on external adjustment.</w:t>
      </w:r>
    </w:p>
    <w:p w14:paraId="7B3F15A4" w14:textId="5E21BEDB" w:rsidR="00E93A7A" w:rsidRDefault="58085007" w:rsidP="006C7B1D">
      <w:pPr>
        <w:jc w:val="both"/>
      </w:pPr>
      <w:r>
        <w:t xml:space="preserve">First, we document that standard linear unit root tests produce inconsistent evidence of current account stationarity, replicating the contradictions established in prior work. The Markov switching framework resolves this by allowing persistence, mean, and volatility to switch independently across regimes. The resulting three-regime classification, explosive, unit root, and </w:t>
      </w:r>
      <w:r w:rsidR="0063059B">
        <w:t>stationary,</w:t>
      </w:r>
      <w:r>
        <w:t xml:space="preserve"> provides a richer characterization of external adjustment dynamics, capturing both the incidence and duration of episodes of heightened persistence or rapid divergence.</w:t>
      </w:r>
    </w:p>
    <w:p w14:paraId="3E2E2A97" w14:textId="77777777" w:rsidR="00E93A7A" w:rsidRDefault="00000000" w:rsidP="006C7B1D">
      <w:pPr>
        <w:jc w:val="both"/>
      </w:pPr>
      <w:r>
        <w:t>Second, we identify fixed exchange rate arrangements and manufacturing export specialization as the primary structural predictors of regime membership. Fixed pegs are associated with substantially lower probability of explosive current account dynamics, consistent with the theoretical prediction that exchange rate commitments constrain the scope for unchecked external imbalances by limiting expenditure-switching. This result diverges from Chinn and Wei (2013) in an important and interpretable respect: the exchange rate regime effect is concentrated in the tails of the adjustment distribution — the explosive regime — a nonlinearity that is invisible to linear mean-persistence regressions.</w:t>
      </w:r>
    </w:p>
    <w:p w14:paraId="0C24BFFF" w14:textId="77777777" w:rsidR="00E93A7A" w:rsidRDefault="00000000" w:rsidP="006C7B1D">
      <w:pPr>
        <w:jc w:val="both"/>
      </w:pPr>
      <w:r>
        <w:t>Third, the model's predictive power is concentrated among emerging market economies (McFadden R² = 0.19 versus 0.05 for the full sample) and has strengthened in the post-GFC period (R² = 0.09 versus 0.04 pre-crisis). These patterns suggest that structural policy variables are most informative for middle-income countries, where institutional adjustment mechanisms are less entrenched, and that the post-crisis international monetary environment has amplified the role of policy frameworks in shaping external adjustment dynamics.</w:t>
      </w:r>
    </w:p>
    <w:p w14:paraId="78E644A4" w14:textId="307BFC22" w:rsidR="00E93A7A" w:rsidRDefault="00000000" w:rsidP="006C7B1D">
      <w:pPr>
        <w:jc w:val="both"/>
      </w:pPr>
      <w:r>
        <w:t>Our binary logit robustness exercise reveals a further asymmetry: the same structural covariates that predict explosive regime entry do not distinguish between stationary and unit root behavior within the stable regime. This points to a natural agenda for future research</w:t>
      </w:r>
      <w:r w:rsidR="006C7B1D">
        <w:t xml:space="preserve">. It demonstrates a need for </w:t>
      </w:r>
      <w:r>
        <w:t xml:space="preserve">identifying the country-specific institutional and financial factors that govern within-stable-regime persistence, likely </w:t>
      </w:r>
      <w:r>
        <w:lastRenderedPageBreak/>
        <w:t>requiring data on financial market depth, creditor composition, and central bank credibility that fall outside the cross-country structural variables available at this scale.</w:t>
      </w:r>
    </w:p>
    <w:p w14:paraId="34E451D2" w14:textId="36C4E82D" w:rsidR="00E93A7A" w:rsidRDefault="00000000" w:rsidP="006C7B1D">
      <w:pPr>
        <w:jc w:val="both"/>
      </w:pPr>
      <w:r>
        <w:t>From a policy perspective, these results highlight the continued relevance of exchange rate regime choice for external adjustment dynamics, particularly in emerging markets. Countries maintaining fixed arrangements face a lower probability of explosive current account divergence but may also forgo the automatic stabilization that exchange rate flexibility provides. Understanding how this tradeoff evolves across different phases of the global financial cycle — and whether it has sharpened in the post-crisis era of global imbalance surveillance — remains an important open question for international macroeconomic policy.</w:t>
      </w:r>
    </w:p>
    <w:p w14:paraId="2ACEBF69" w14:textId="77777777" w:rsidR="00FD4624" w:rsidRPr="00935EAC" w:rsidRDefault="00FD4624" w:rsidP="0073265E">
      <w:pPr>
        <w:rPr>
          <w:rFonts w:eastAsia="Times New Roman"/>
        </w:rPr>
      </w:pPr>
    </w:p>
    <w:p w14:paraId="0951278A" w14:textId="77777777" w:rsidR="00514562" w:rsidRPr="00935EAC" w:rsidRDefault="00514562" w:rsidP="0073265E">
      <w:pPr>
        <w:widowControl w:val="0"/>
        <w:autoSpaceDE w:val="0"/>
        <w:autoSpaceDN w:val="0"/>
        <w:spacing w:after="0" w:line="276" w:lineRule="auto"/>
        <w:jc w:val="both"/>
        <w:rPr>
          <w:rFonts w:eastAsia="Times New Roman" w:cs="Times New Roman"/>
          <w:sz w:val="20"/>
        </w:rPr>
      </w:pPr>
      <w:r w:rsidRPr="00935EAC">
        <w:rPr>
          <w:rFonts w:eastAsia="Times New Roman" w:cs="Times New Roman"/>
          <w:b/>
          <w:bCs/>
          <w:sz w:val="20"/>
        </w:rPr>
        <w:br w:type="page"/>
      </w:r>
    </w:p>
    <w:p w14:paraId="09667C0E" w14:textId="77777777" w:rsidR="00514562" w:rsidRPr="00935EAC" w:rsidRDefault="00514562" w:rsidP="0073265E">
      <w:pPr>
        <w:widowControl w:val="0"/>
        <w:tabs>
          <w:tab w:val="left" w:pos="455"/>
        </w:tabs>
        <w:autoSpaceDE w:val="0"/>
        <w:autoSpaceDN w:val="0"/>
        <w:spacing w:before="132" w:after="0" w:line="276" w:lineRule="auto"/>
        <w:jc w:val="both"/>
        <w:outlineLvl w:val="0"/>
        <w:rPr>
          <w:rFonts w:eastAsia="Times New Roman" w:cs="Times New Roman"/>
          <w:b/>
          <w:bCs/>
          <w:spacing w:val="-2"/>
          <w:szCs w:val="24"/>
        </w:rPr>
      </w:pPr>
      <w:r w:rsidRPr="00935EAC">
        <w:rPr>
          <w:rFonts w:eastAsia="Times New Roman" w:cs="Times New Roman"/>
          <w:b/>
          <w:bCs/>
          <w:spacing w:val="-2"/>
          <w:szCs w:val="24"/>
        </w:rPr>
        <w:lastRenderedPageBreak/>
        <w:t>References</w:t>
      </w:r>
    </w:p>
    <w:p w14:paraId="3BB1CAED" w14:textId="77777777" w:rsidR="00514562" w:rsidRPr="00935EAC" w:rsidRDefault="00514562" w:rsidP="0073265E">
      <w:pPr>
        <w:widowControl w:val="0"/>
        <w:autoSpaceDE w:val="0"/>
        <w:autoSpaceDN w:val="0"/>
        <w:spacing w:after="0" w:line="276" w:lineRule="auto"/>
        <w:jc w:val="both"/>
        <w:rPr>
          <w:rFonts w:eastAsia="Times New Roman" w:cs="Times New Roman"/>
          <w:sz w:val="22"/>
        </w:rPr>
      </w:pPr>
      <w:bookmarkStart w:id="14" w:name="_bookmark17"/>
      <w:bookmarkStart w:id="15" w:name="Data_and_country_list"/>
      <w:bookmarkStart w:id="16" w:name="_bookmark64"/>
      <w:bookmarkEnd w:id="14"/>
      <w:bookmarkEnd w:id="15"/>
      <w:bookmarkEnd w:id="16"/>
    </w:p>
    <w:p w14:paraId="4D8BE024" w14:textId="1541CDE3" w:rsidR="00081E27" w:rsidRPr="00935EAC" w:rsidRDefault="00081E27"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Aizenman, J., Park, D., Qureshi, I. A., Saadaoui, J., &amp; Uddin, G. S. (2024). The performance of emerging markets during the Fed’s easing and tightening cycles: a cross-country resilience analysis. </w:t>
      </w:r>
      <w:r w:rsidRPr="00935EAC">
        <w:rPr>
          <w:rFonts w:asciiTheme="minorHAnsi" w:hAnsiTheme="minorHAnsi" w:cstheme="minorHAnsi"/>
          <w:i/>
          <w:iCs/>
          <w:sz w:val="20"/>
          <w:szCs w:val="20"/>
        </w:rPr>
        <w:t>Journal of International Money and Finance</w:t>
      </w:r>
      <w:r w:rsidRPr="00935EAC">
        <w:rPr>
          <w:rFonts w:asciiTheme="minorHAnsi" w:hAnsiTheme="minorHAnsi" w:cstheme="minorHAnsi"/>
          <w:sz w:val="20"/>
          <w:szCs w:val="20"/>
        </w:rPr>
        <w:t>, </w:t>
      </w:r>
      <w:r w:rsidRPr="00935EAC">
        <w:rPr>
          <w:rFonts w:asciiTheme="minorHAnsi" w:hAnsiTheme="minorHAnsi" w:cstheme="minorHAnsi"/>
          <w:i/>
          <w:iCs/>
          <w:sz w:val="20"/>
          <w:szCs w:val="20"/>
        </w:rPr>
        <w:t>148</w:t>
      </w:r>
      <w:r w:rsidRPr="00935EAC">
        <w:rPr>
          <w:rFonts w:asciiTheme="minorHAnsi" w:hAnsiTheme="minorHAnsi" w:cstheme="minorHAnsi"/>
          <w:sz w:val="20"/>
          <w:szCs w:val="20"/>
        </w:rPr>
        <w:t>, 103169.</w:t>
      </w:r>
    </w:p>
    <w:p w14:paraId="7A66F43C" w14:textId="77952D83" w:rsidR="00081E27" w:rsidRPr="00935EAC" w:rsidRDefault="00081E27"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Aizenman, J., &amp; Saadaoui, J. (2025). The Cross-Country Resilience of Central, Eastern, and Southeastern European Countries during ECB Monetary Cycles. </w:t>
      </w:r>
      <w:r w:rsidRPr="00935EAC">
        <w:rPr>
          <w:rFonts w:asciiTheme="minorHAnsi" w:hAnsiTheme="minorHAnsi" w:cstheme="minorHAnsi"/>
          <w:i/>
          <w:iCs/>
          <w:sz w:val="20"/>
          <w:szCs w:val="20"/>
        </w:rPr>
        <w:t>Open Economies Review</w:t>
      </w:r>
      <w:r w:rsidRPr="00935EAC">
        <w:rPr>
          <w:rFonts w:asciiTheme="minorHAnsi" w:hAnsiTheme="minorHAnsi" w:cstheme="minorHAnsi"/>
          <w:sz w:val="20"/>
          <w:szCs w:val="20"/>
        </w:rPr>
        <w:t>, 1-35.</w:t>
      </w:r>
    </w:p>
    <w:p w14:paraId="3EF0C088" w14:textId="77777777" w:rsidR="00613400" w:rsidRDefault="00613400" w:rsidP="0073265E">
      <w:pPr>
        <w:spacing w:after="240"/>
        <w:jc w:val="both"/>
        <w:rPr>
          <w:rFonts w:asciiTheme="minorHAnsi" w:hAnsiTheme="minorHAnsi" w:cstheme="minorHAnsi"/>
          <w:sz w:val="20"/>
          <w:szCs w:val="20"/>
        </w:rPr>
      </w:pPr>
      <w:r w:rsidRPr="00613400">
        <w:rPr>
          <w:rFonts w:asciiTheme="minorHAnsi" w:hAnsiTheme="minorHAnsi" w:cstheme="minorHAnsi"/>
          <w:sz w:val="20"/>
          <w:szCs w:val="20"/>
        </w:rPr>
        <w:t xml:space="preserve">Bohn, H. (1998). The behavior of U.S. public debt and deficits. </w:t>
      </w:r>
      <w:r w:rsidRPr="00613400">
        <w:rPr>
          <w:rFonts w:asciiTheme="minorHAnsi" w:hAnsiTheme="minorHAnsi" w:cstheme="minorHAnsi"/>
          <w:i/>
          <w:iCs/>
          <w:sz w:val="20"/>
          <w:szCs w:val="20"/>
        </w:rPr>
        <w:t>The Quarterly Journal of Economics</w:t>
      </w:r>
      <w:r w:rsidRPr="00613400">
        <w:rPr>
          <w:rFonts w:asciiTheme="minorHAnsi" w:hAnsiTheme="minorHAnsi" w:cstheme="minorHAnsi"/>
          <w:sz w:val="20"/>
          <w:szCs w:val="20"/>
        </w:rPr>
        <w:t>, 113(3), 949–963.</w:t>
      </w:r>
      <w:r w:rsidRPr="00613400">
        <w:rPr>
          <w:rFonts w:asciiTheme="minorHAnsi" w:hAnsiTheme="minorHAnsi" w:cstheme="minorHAnsi"/>
          <w:sz w:val="20"/>
          <w:szCs w:val="20"/>
        </w:rPr>
        <w:t xml:space="preserve"> </w:t>
      </w:r>
    </w:p>
    <w:p w14:paraId="3142EA95" w14:textId="4862F21B" w:rsidR="00E0296D" w:rsidRDefault="00E0296D" w:rsidP="0073265E">
      <w:pPr>
        <w:spacing w:after="240"/>
        <w:jc w:val="both"/>
        <w:rPr>
          <w:rFonts w:asciiTheme="minorHAnsi" w:hAnsiTheme="minorHAnsi" w:cstheme="minorHAnsi"/>
          <w:sz w:val="20"/>
          <w:szCs w:val="20"/>
        </w:rPr>
      </w:pPr>
      <w:r w:rsidRPr="00E0296D">
        <w:rPr>
          <w:rFonts w:asciiTheme="minorHAnsi" w:hAnsiTheme="minorHAnsi" w:cstheme="minorHAnsi"/>
          <w:sz w:val="20"/>
          <w:szCs w:val="20"/>
        </w:rPr>
        <w:t xml:space="preserve">Cameron, A. C., &amp; Miller, D. L. (2015). A practitioner’s guide to cluster-robust inference. </w:t>
      </w:r>
      <w:r w:rsidRPr="00E0296D">
        <w:rPr>
          <w:rFonts w:asciiTheme="minorHAnsi" w:hAnsiTheme="minorHAnsi" w:cstheme="minorHAnsi"/>
          <w:i/>
          <w:iCs/>
          <w:sz w:val="20"/>
          <w:szCs w:val="20"/>
        </w:rPr>
        <w:t>Journal of Human Resources</w:t>
      </w:r>
      <w:r w:rsidRPr="00E0296D">
        <w:rPr>
          <w:rFonts w:asciiTheme="minorHAnsi" w:hAnsiTheme="minorHAnsi" w:cstheme="minorHAnsi"/>
          <w:sz w:val="20"/>
          <w:szCs w:val="20"/>
        </w:rPr>
        <w:t xml:space="preserve">, 50(2), 317–372. </w:t>
      </w:r>
      <w:hyperlink r:id="rId26" w:history="1">
        <w:r w:rsidRPr="007F1428">
          <w:rPr>
            <w:rStyle w:val="Hyperlink"/>
            <w:rFonts w:asciiTheme="minorHAnsi" w:hAnsiTheme="minorHAnsi" w:cstheme="minorHAnsi"/>
            <w:sz w:val="20"/>
            <w:szCs w:val="20"/>
          </w:rPr>
          <w:t>https://doi.org/10.3368/jhr.50.2.317</w:t>
        </w:r>
      </w:hyperlink>
      <w:r w:rsidRPr="00E0296D">
        <w:rPr>
          <w:rFonts w:asciiTheme="minorHAnsi" w:hAnsiTheme="minorHAnsi" w:cstheme="minorHAnsi"/>
          <w:sz w:val="20"/>
          <w:szCs w:val="20"/>
        </w:rPr>
        <w:t xml:space="preserve"> </w:t>
      </w:r>
    </w:p>
    <w:p w14:paraId="58F8CA3B"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Chen, S. 2011. Current account deficits and sustainability: Evidence from the OECD countries. </w:t>
      </w:r>
      <w:r w:rsidRPr="00935EAC">
        <w:rPr>
          <w:rFonts w:asciiTheme="minorHAnsi" w:hAnsiTheme="minorHAnsi" w:cstheme="minorHAnsi"/>
          <w:i/>
          <w:iCs/>
          <w:sz w:val="20"/>
          <w:szCs w:val="20"/>
        </w:rPr>
        <w:t>Economic Modelling</w:t>
      </w:r>
      <w:r w:rsidRPr="00935EAC">
        <w:rPr>
          <w:rFonts w:asciiTheme="minorHAnsi" w:hAnsiTheme="minorHAnsi" w:cstheme="minorHAnsi"/>
          <w:sz w:val="20"/>
          <w:szCs w:val="20"/>
        </w:rPr>
        <w:t>. doi:10.10.1016/j.econmod.2011.01.011.</w:t>
      </w:r>
    </w:p>
    <w:p w14:paraId="7C1F3978" w14:textId="1A7FE2D5" w:rsidR="00D674E5" w:rsidRDefault="00D674E5" w:rsidP="0073265E">
      <w:pPr>
        <w:spacing w:after="240"/>
        <w:jc w:val="both"/>
        <w:rPr>
          <w:rFonts w:asciiTheme="minorHAnsi" w:hAnsiTheme="minorHAnsi" w:cstheme="minorHAnsi"/>
          <w:sz w:val="20"/>
          <w:szCs w:val="20"/>
        </w:rPr>
      </w:pPr>
      <w:r w:rsidRPr="00D674E5">
        <w:rPr>
          <w:rFonts w:asciiTheme="minorHAnsi" w:hAnsiTheme="minorHAnsi" w:cstheme="minorHAnsi"/>
          <w:sz w:val="20"/>
          <w:szCs w:val="20"/>
        </w:rPr>
        <w:t xml:space="preserve">Chinn, M. D., Eichengreen, B., &amp; Ito, H. (2014). A forensic analysis of global imbalances. </w:t>
      </w:r>
      <w:r w:rsidRPr="00D674E5">
        <w:rPr>
          <w:rFonts w:asciiTheme="minorHAnsi" w:hAnsiTheme="minorHAnsi" w:cstheme="minorHAnsi"/>
          <w:i/>
          <w:iCs/>
          <w:sz w:val="20"/>
          <w:szCs w:val="20"/>
        </w:rPr>
        <w:t>Oxford Economic Papers</w:t>
      </w:r>
      <w:r w:rsidRPr="00D674E5">
        <w:rPr>
          <w:rFonts w:asciiTheme="minorHAnsi" w:hAnsiTheme="minorHAnsi" w:cstheme="minorHAnsi"/>
          <w:sz w:val="20"/>
          <w:szCs w:val="20"/>
        </w:rPr>
        <w:t xml:space="preserve">, 66(2), 465–490. </w:t>
      </w:r>
      <w:hyperlink r:id="rId27" w:history="1">
        <w:r w:rsidRPr="007F1428">
          <w:rPr>
            <w:rStyle w:val="Hyperlink"/>
            <w:rFonts w:asciiTheme="minorHAnsi" w:hAnsiTheme="minorHAnsi" w:cstheme="minorHAnsi"/>
            <w:sz w:val="20"/>
            <w:szCs w:val="20"/>
          </w:rPr>
          <w:t>http://www.jstor.org/stable/43772874</w:t>
        </w:r>
      </w:hyperlink>
    </w:p>
    <w:p w14:paraId="4DC39132" w14:textId="03A2157E"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Chinn, M., and S. J. Wei. </w:t>
      </w:r>
      <w:r w:rsidR="00F317EF" w:rsidRPr="00935EAC">
        <w:rPr>
          <w:rFonts w:asciiTheme="minorHAnsi" w:hAnsiTheme="minorHAnsi" w:cstheme="minorHAnsi"/>
          <w:sz w:val="20"/>
          <w:szCs w:val="20"/>
        </w:rPr>
        <w:t>2013</w:t>
      </w:r>
      <w:r w:rsidRPr="00935EAC">
        <w:rPr>
          <w:rFonts w:asciiTheme="minorHAnsi" w:hAnsiTheme="minorHAnsi" w:cstheme="minorHAnsi"/>
          <w:sz w:val="20"/>
          <w:szCs w:val="20"/>
        </w:rPr>
        <w:t xml:space="preserve">. A faith-based initiative meets the evidence: Does a flexible exchange rate regime really facilitate current account adjustment? </w:t>
      </w:r>
      <w:r w:rsidRPr="00935EAC">
        <w:rPr>
          <w:rFonts w:asciiTheme="minorHAnsi" w:hAnsiTheme="minorHAnsi" w:cstheme="minorHAnsi"/>
          <w:i/>
          <w:iCs/>
          <w:sz w:val="20"/>
          <w:szCs w:val="20"/>
        </w:rPr>
        <w:t>Review of Economics and Statistics</w:t>
      </w:r>
      <w:r w:rsidR="00F317EF" w:rsidRPr="00935EAC">
        <w:rPr>
          <w:rFonts w:asciiTheme="minorHAnsi" w:hAnsiTheme="minorHAnsi" w:cstheme="minorHAnsi"/>
          <w:i/>
          <w:iCs/>
          <w:sz w:val="20"/>
          <w:szCs w:val="20"/>
        </w:rPr>
        <w:t xml:space="preserve"> </w:t>
      </w:r>
      <w:r w:rsidR="00F317EF" w:rsidRPr="00935EAC">
        <w:rPr>
          <w:rFonts w:asciiTheme="minorHAnsi" w:hAnsiTheme="minorHAnsi" w:cstheme="minorHAnsi"/>
          <w:sz w:val="20"/>
          <w:szCs w:val="20"/>
        </w:rPr>
        <w:t>95(1): 168-184.</w:t>
      </w:r>
    </w:p>
    <w:p w14:paraId="0C2980E9"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Faruqee, H., and J. Lee. 2009. Global dispersion of current accounts: Is the universe expanding? </w:t>
      </w:r>
      <w:r w:rsidRPr="00935EAC">
        <w:rPr>
          <w:rFonts w:asciiTheme="minorHAnsi" w:hAnsiTheme="minorHAnsi" w:cstheme="minorHAnsi"/>
          <w:i/>
          <w:iCs/>
          <w:sz w:val="20"/>
          <w:szCs w:val="20"/>
        </w:rPr>
        <w:t>IMF Staff Papers</w:t>
      </w:r>
      <w:r w:rsidRPr="00935EAC">
        <w:rPr>
          <w:rFonts w:asciiTheme="minorHAnsi" w:hAnsiTheme="minorHAnsi" w:cstheme="minorHAnsi"/>
          <w:sz w:val="20"/>
          <w:szCs w:val="20"/>
        </w:rPr>
        <w:t xml:space="preserve"> 56: 574–595.</w:t>
      </w:r>
    </w:p>
    <w:p w14:paraId="2F43120F"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Feldstein, M., and C. Horioka. 1980. Domestic saving and international capital flows. </w:t>
      </w:r>
      <w:r w:rsidRPr="00935EAC">
        <w:rPr>
          <w:rFonts w:asciiTheme="minorHAnsi" w:hAnsiTheme="minorHAnsi" w:cstheme="minorHAnsi"/>
          <w:i/>
          <w:iCs/>
          <w:sz w:val="20"/>
          <w:szCs w:val="20"/>
        </w:rPr>
        <w:t>Economic Journal</w:t>
      </w:r>
      <w:r w:rsidRPr="00935EAC">
        <w:rPr>
          <w:rFonts w:asciiTheme="minorHAnsi" w:hAnsiTheme="minorHAnsi" w:cstheme="minorHAnsi"/>
          <w:sz w:val="20"/>
          <w:szCs w:val="20"/>
        </w:rPr>
        <w:t xml:space="preserve"> 90(2): 314–329.</w:t>
      </w:r>
    </w:p>
    <w:p w14:paraId="5C8B405E" w14:textId="21A31DD2" w:rsidR="00CD5355" w:rsidRPr="00935EAC" w:rsidRDefault="00CD5355" w:rsidP="0073265E">
      <w:pPr>
        <w:spacing w:after="240"/>
        <w:jc w:val="both"/>
        <w:rPr>
          <w:rFonts w:asciiTheme="minorHAnsi" w:hAnsiTheme="minorHAnsi" w:cstheme="minorHAnsi"/>
          <w:sz w:val="20"/>
          <w:szCs w:val="20"/>
        </w:rPr>
      </w:pPr>
      <w:r w:rsidRPr="0073265E">
        <w:rPr>
          <w:rFonts w:asciiTheme="minorHAnsi" w:hAnsiTheme="minorHAnsi" w:cstheme="minorHAnsi"/>
          <w:sz w:val="20"/>
          <w:szCs w:val="20"/>
        </w:rPr>
        <w:t xml:space="preserve">Hall, S. G., Psaradakis, Z., &amp; Sola, M. (1999). </w:t>
      </w:r>
      <w:r w:rsidRPr="00935EAC">
        <w:rPr>
          <w:rFonts w:asciiTheme="minorHAnsi" w:hAnsiTheme="minorHAnsi" w:cstheme="minorHAnsi"/>
          <w:sz w:val="20"/>
          <w:szCs w:val="20"/>
        </w:rPr>
        <w:t>Detecting periodically collapsing bubbles: a Markov‐switching unit root test. </w:t>
      </w:r>
      <w:r w:rsidRPr="00935EAC">
        <w:rPr>
          <w:rFonts w:asciiTheme="minorHAnsi" w:hAnsiTheme="minorHAnsi" w:cstheme="minorHAnsi"/>
          <w:i/>
          <w:iCs/>
          <w:sz w:val="20"/>
          <w:szCs w:val="20"/>
        </w:rPr>
        <w:t>Journal of Applied Econometrics</w:t>
      </w:r>
      <w:r w:rsidRPr="00935EAC">
        <w:rPr>
          <w:rFonts w:asciiTheme="minorHAnsi" w:hAnsiTheme="minorHAnsi" w:cstheme="minorHAnsi"/>
          <w:sz w:val="20"/>
          <w:szCs w:val="20"/>
        </w:rPr>
        <w:t>, </w:t>
      </w:r>
      <w:r w:rsidRPr="00935EAC">
        <w:rPr>
          <w:rFonts w:asciiTheme="minorHAnsi" w:hAnsiTheme="minorHAnsi" w:cstheme="minorHAnsi"/>
          <w:i/>
          <w:iCs/>
          <w:sz w:val="20"/>
          <w:szCs w:val="20"/>
        </w:rPr>
        <w:t>14</w:t>
      </w:r>
      <w:r w:rsidRPr="00935EAC">
        <w:rPr>
          <w:rFonts w:asciiTheme="minorHAnsi" w:hAnsiTheme="minorHAnsi" w:cstheme="minorHAnsi"/>
          <w:sz w:val="20"/>
          <w:szCs w:val="20"/>
        </w:rPr>
        <w:t>(2), 143-154.</w:t>
      </w:r>
    </w:p>
    <w:p w14:paraId="3A8FC670"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Hakkio, C., and M. Rush. 1991. Is the budget deficit too large? </w:t>
      </w:r>
      <w:r w:rsidRPr="00935EAC">
        <w:rPr>
          <w:rFonts w:asciiTheme="minorHAnsi" w:hAnsiTheme="minorHAnsi" w:cstheme="minorHAnsi"/>
          <w:i/>
          <w:iCs/>
          <w:sz w:val="20"/>
          <w:szCs w:val="20"/>
        </w:rPr>
        <w:t>Economic Inquiry</w:t>
      </w:r>
      <w:r w:rsidRPr="00935EAC">
        <w:rPr>
          <w:rFonts w:asciiTheme="minorHAnsi" w:hAnsiTheme="minorHAnsi" w:cstheme="minorHAnsi"/>
          <w:sz w:val="20"/>
          <w:szCs w:val="20"/>
        </w:rPr>
        <w:t xml:space="preserve"> 29(3): 429–445.</w:t>
      </w:r>
    </w:p>
    <w:p w14:paraId="578B576A" w14:textId="0E163CF5" w:rsidR="00613400" w:rsidRDefault="00613400" w:rsidP="0073265E">
      <w:pPr>
        <w:spacing w:after="240"/>
        <w:jc w:val="both"/>
        <w:rPr>
          <w:rFonts w:asciiTheme="minorHAnsi" w:hAnsiTheme="minorHAnsi" w:cstheme="minorHAnsi"/>
          <w:sz w:val="20"/>
          <w:szCs w:val="20"/>
        </w:rPr>
      </w:pPr>
      <w:r w:rsidRPr="00613400">
        <w:rPr>
          <w:rFonts w:asciiTheme="minorHAnsi" w:hAnsiTheme="minorHAnsi" w:cstheme="minorHAnsi"/>
          <w:sz w:val="20"/>
          <w:szCs w:val="20"/>
        </w:rPr>
        <w:t xml:space="preserve">Harvey, D. I., S. J. Leybourne, R. Sollis, and A. M. R. Taylor. 2016. “Tests for Explosive Financial Bubbles in the Presence of Non-stationary Volatility.” </w:t>
      </w:r>
      <w:r w:rsidRPr="00613400">
        <w:rPr>
          <w:rFonts w:asciiTheme="minorHAnsi" w:hAnsiTheme="minorHAnsi" w:cstheme="minorHAnsi"/>
          <w:i/>
          <w:iCs/>
          <w:sz w:val="20"/>
          <w:szCs w:val="20"/>
        </w:rPr>
        <w:t>Journal of Empirical Finance</w:t>
      </w:r>
      <w:r w:rsidRPr="00613400">
        <w:rPr>
          <w:rFonts w:asciiTheme="minorHAnsi" w:hAnsiTheme="minorHAnsi" w:cstheme="minorHAnsi"/>
          <w:sz w:val="20"/>
          <w:szCs w:val="20"/>
        </w:rPr>
        <w:t xml:space="preserve"> 38: 548–74.</w:t>
      </w:r>
      <w:r w:rsidRPr="00613400">
        <w:rPr>
          <w:rFonts w:asciiTheme="minorHAnsi" w:hAnsiTheme="minorHAnsi" w:cstheme="minorHAnsi"/>
          <w:sz w:val="20"/>
          <w:szCs w:val="20"/>
        </w:rPr>
        <w:t xml:space="preserve"> </w:t>
      </w:r>
      <w:hyperlink r:id="rId28" w:tgtFrame="_blank" w:history="1">
        <w:r w:rsidRPr="00613400">
          <w:rPr>
            <w:rStyle w:val="Hyperlink"/>
            <w:rFonts w:asciiTheme="minorHAnsi" w:hAnsiTheme="minorHAnsi" w:cstheme="minorHAnsi"/>
            <w:sz w:val="20"/>
            <w:szCs w:val="20"/>
          </w:rPr>
          <w:t>https://doi.org/10.1080/07474938.2018.1536099</w:t>
        </w:r>
      </w:hyperlink>
      <w:r w:rsidRPr="00613400">
        <w:rPr>
          <w:rFonts w:asciiTheme="minorHAnsi" w:hAnsiTheme="minorHAnsi" w:cstheme="minorHAnsi"/>
          <w:sz w:val="20"/>
          <w:szCs w:val="20"/>
        </w:rPr>
        <w:t>.</w:t>
      </w:r>
    </w:p>
    <w:p w14:paraId="15BD26E1" w14:textId="77777777" w:rsidR="00E0296D" w:rsidRDefault="00E0296D" w:rsidP="0073265E">
      <w:pPr>
        <w:spacing w:after="240"/>
        <w:jc w:val="both"/>
        <w:rPr>
          <w:rFonts w:asciiTheme="minorHAnsi" w:hAnsiTheme="minorHAnsi" w:cstheme="minorHAnsi"/>
          <w:sz w:val="20"/>
          <w:szCs w:val="20"/>
        </w:rPr>
      </w:pPr>
      <w:r w:rsidRPr="00E0296D">
        <w:rPr>
          <w:rFonts w:asciiTheme="minorHAnsi" w:hAnsiTheme="minorHAnsi" w:cstheme="minorHAnsi"/>
          <w:sz w:val="20"/>
          <w:szCs w:val="20"/>
        </w:rPr>
        <w:t>Hausman, J., &amp; McFadden, D. (1984). Specification Tests for the Multinomial Logit Model. </w:t>
      </w:r>
      <w:r w:rsidRPr="00E0296D">
        <w:rPr>
          <w:rFonts w:asciiTheme="minorHAnsi" w:hAnsiTheme="minorHAnsi" w:cstheme="minorHAnsi"/>
          <w:i/>
          <w:iCs/>
          <w:sz w:val="20"/>
          <w:szCs w:val="20"/>
        </w:rPr>
        <w:t>Econometrica</w:t>
      </w:r>
      <w:r w:rsidRPr="00E0296D">
        <w:rPr>
          <w:rFonts w:asciiTheme="minorHAnsi" w:hAnsiTheme="minorHAnsi" w:cstheme="minorHAnsi"/>
          <w:sz w:val="20"/>
          <w:szCs w:val="20"/>
        </w:rPr>
        <w:t>, </w:t>
      </w:r>
      <w:r w:rsidRPr="00E0296D">
        <w:rPr>
          <w:rFonts w:asciiTheme="minorHAnsi" w:hAnsiTheme="minorHAnsi" w:cstheme="minorHAnsi"/>
          <w:i/>
          <w:iCs/>
          <w:sz w:val="20"/>
          <w:szCs w:val="20"/>
        </w:rPr>
        <w:t>52</w:t>
      </w:r>
      <w:r w:rsidRPr="00E0296D">
        <w:rPr>
          <w:rFonts w:asciiTheme="minorHAnsi" w:hAnsiTheme="minorHAnsi" w:cstheme="minorHAnsi"/>
          <w:sz w:val="20"/>
          <w:szCs w:val="20"/>
        </w:rPr>
        <w:t>(5), 1219–1240. https://doi.org/10.2307/1910997</w:t>
      </w:r>
      <w:r w:rsidRPr="00E0296D">
        <w:rPr>
          <w:rFonts w:asciiTheme="minorHAnsi" w:hAnsiTheme="minorHAnsi" w:cstheme="minorHAnsi"/>
          <w:sz w:val="20"/>
          <w:szCs w:val="20"/>
        </w:rPr>
        <w:t xml:space="preserve"> </w:t>
      </w:r>
    </w:p>
    <w:p w14:paraId="3340F0E4" w14:textId="5F25C70B" w:rsidR="0043373C" w:rsidRPr="00935EAC" w:rsidRDefault="00D674E5" w:rsidP="0073265E">
      <w:pPr>
        <w:spacing w:after="240"/>
        <w:jc w:val="both"/>
        <w:rPr>
          <w:rFonts w:asciiTheme="minorHAnsi" w:hAnsiTheme="minorHAnsi" w:cstheme="minorHAnsi"/>
          <w:sz w:val="20"/>
          <w:szCs w:val="20"/>
        </w:rPr>
      </w:pPr>
      <w:r w:rsidRPr="00D674E5">
        <w:rPr>
          <w:rFonts w:asciiTheme="minorHAnsi" w:hAnsiTheme="minorHAnsi" w:cstheme="minorHAnsi"/>
          <w:sz w:val="20"/>
          <w:szCs w:val="20"/>
        </w:rPr>
        <w:t xml:space="preserve">Ilzetzki, E., Reinhart, C. M., &amp; Rogoff, K. S. (2019). Exchange arrangements entering the twenty-first century: Which anchor will hold? </w:t>
      </w:r>
      <w:r w:rsidRPr="00D674E5">
        <w:rPr>
          <w:rFonts w:asciiTheme="minorHAnsi" w:hAnsiTheme="minorHAnsi" w:cstheme="minorHAnsi"/>
          <w:i/>
          <w:iCs/>
          <w:sz w:val="20"/>
          <w:szCs w:val="20"/>
        </w:rPr>
        <w:t>The Quarterly Journal of Economics</w:t>
      </w:r>
      <w:r w:rsidRPr="00D674E5">
        <w:rPr>
          <w:rFonts w:asciiTheme="minorHAnsi" w:hAnsiTheme="minorHAnsi" w:cstheme="minorHAnsi"/>
          <w:sz w:val="20"/>
          <w:szCs w:val="20"/>
        </w:rPr>
        <w:t>, 134(2), 599–646</w:t>
      </w:r>
      <w:r w:rsidR="0043373C" w:rsidRPr="00935EAC">
        <w:rPr>
          <w:rFonts w:asciiTheme="minorHAnsi" w:hAnsiTheme="minorHAnsi" w:cstheme="minorHAnsi"/>
          <w:sz w:val="20"/>
          <w:szCs w:val="20"/>
        </w:rPr>
        <w:t>.</w:t>
      </w:r>
    </w:p>
    <w:p w14:paraId="05E1CF3D" w14:textId="0E9D22A2" w:rsidR="00A56A40" w:rsidRPr="00935EAC" w:rsidRDefault="00A56A40"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International Monetary Fund. Research Dept. (2025). External Sector Report 2025. USA: International Monetary Fund. Retrieved Jul 30, 2025.  https://doi.org/10.5089/9798229017329.085</w:t>
      </w:r>
    </w:p>
    <w:p w14:paraId="1256DB19" w14:textId="7A4BE720" w:rsidR="00742560" w:rsidRPr="0073265E" w:rsidRDefault="00742560" w:rsidP="0073265E">
      <w:pPr>
        <w:widowControl w:val="0"/>
        <w:autoSpaceDE w:val="0"/>
        <w:autoSpaceDN w:val="0"/>
        <w:spacing w:after="0" w:line="276" w:lineRule="auto"/>
        <w:jc w:val="both"/>
        <w:rPr>
          <w:rFonts w:asciiTheme="minorHAnsi" w:eastAsia="Times New Roman" w:hAnsiTheme="minorHAnsi" w:cstheme="minorHAnsi"/>
          <w:sz w:val="20"/>
          <w:szCs w:val="20"/>
        </w:rPr>
      </w:pPr>
      <w:r w:rsidRPr="0073265E">
        <w:rPr>
          <w:rFonts w:asciiTheme="minorHAnsi" w:eastAsia="Times New Roman" w:hAnsiTheme="minorHAnsi" w:cstheme="minorHAnsi"/>
          <w:sz w:val="20"/>
          <w:szCs w:val="20"/>
        </w:rPr>
        <w:t xml:space="preserve">Lucas, R. E. (1990). Why Doesn’t Capital Flow from Rich to Poor Countries? </w:t>
      </w:r>
      <w:r w:rsidRPr="0073265E">
        <w:rPr>
          <w:rFonts w:asciiTheme="minorHAnsi" w:eastAsia="Times New Roman" w:hAnsiTheme="minorHAnsi" w:cstheme="minorHAnsi"/>
          <w:i/>
          <w:iCs/>
          <w:sz w:val="20"/>
          <w:szCs w:val="20"/>
        </w:rPr>
        <w:t>The American Economic Review</w:t>
      </w:r>
      <w:r w:rsidRPr="0073265E">
        <w:rPr>
          <w:rFonts w:asciiTheme="minorHAnsi" w:eastAsia="Times New Roman" w:hAnsiTheme="minorHAnsi" w:cstheme="minorHAnsi"/>
          <w:sz w:val="20"/>
          <w:szCs w:val="20"/>
        </w:rPr>
        <w:t xml:space="preserve">, </w:t>
      </w:r>
      <w:r w:rsidRPr="0073265E">
        <w:rPr>
          <w:rFonts w:asciiTheme="minorHAnsi" w:eastAsia="Times New Roman" w:hAnsiTheme="minorHAnsi" w:cstheme="minorHAnsi"/>
          <w:i/>
          <w:iCs/>
          <w:sz w:val="20"/>
          <w:szCs w:val="20"/>
        </w:rPr>
        <w:t>80</w:t>
      </w:r>
      <w:r w:rsidRPr="0073265E">
        <w:rPr>
          <w:rFonts w:asciiTheme="minorHAnsi" w:eastAsia="Times New Roman" w:hAnsiTheme="minorHAnsi" w:cstheme="minorHAnsi"/>
          <w:sz w:val="20"/>
          <w:szCs w:val="20"/>
        </w:rPr>
        <w:t>(2), 92–96. http://www.jstor.org/stable/2006549</w:t>
      </w:r>
    </w:p>
    <w:p w14:paraId="0688B794" w14:textId="77777777" w:rsidR="0043373C" w:rsidRPr="0073265E"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p>
    <w:p w14:paraId="388AC65F" w14:textId="0F1CB961" w:rsidR="00613400" w:rsidRDefault="00613400" w:rsidP="0073265E">
      <w:pPr>
        <w:widowControl w:val="0"/>
        <w:autoSpaceDE w:val="0"/>
        <w:autoSpaceDN w:val="0"/>
        <w:spacing w:after="0" w:line="276" w:lineRule="auto"/>
        <w:jc w:val="both"/>
        <w:rPr>
          <w:rFonts w:asciiTheme="minorHAnsi" w:eastAsia="Times New Roman" w:hAnsiTheme="minorHAnsi" w:cstheme="minorHAnsi"/>
          <w:sz w:val="20"/>
          <w:szCs w:val="20"/>
        </w:rPr>
      </w:pPr>
      <w:r w:rsidRPr="00613400">
        <w:rPr>
          <w:rFonts w:asciiTheme="minorHAnsi" w:eastAsia="Times New Roman" w:hAnsiTheme="minorHAnsi" w:cstheme="minorHAnsi"/>
          <w:sz w:val="20"/>
          <w:szCs w:val="20"/>
        </w:rPr>
        <w:t>Monschang, V., and B. Wilfling. 2021. “Sup-ADF-Style Bubble-Detection Methods under Test.” </w:t>
      </w:r>
      <w:r w:rsidRPr="00613400">
        <w:rPr>
          <w:rFonts w:asciiTheme="minorHAnsi" w:eastAsia="Times New Roman" w:hAnsiTheme="minorHAnsi" w:cstheme="minorHAnsi"/>
          <w:i/>
          <w:iCs/>
          <w:sz w:val="20"/>
          <w:szCs w:val="20"/>
        </w:rPr>
        <w:t>Empirical Economics</w:t>
      </w:r>
      <w:r w:rsidRPr="00613400">
        <w:rPr>
          <w:rFonts w:asciiTheme="minorHAnsi" w:eastAsia="Times New Roman" w:hAnsiTheme="minorHAnsi" w:cstheme="minorHAnsi"/>
          <w:sz w:val="20"/>
          <w:szCs w:val="20"/>
        </w:rPr>
        <w:t> 61: 145–72</w:t>
      </w:r>
      <w:r>
        <w:rPr>
          <w:rFonts w:asciiTheme="minorHAnsi" w:eastAsia="Times New Roman" w:hAnsiTheme="minorHAnsi" w:cstheme="minorHAnsi"/>
          <w:sz w:val="20"/>
          <w:szCs w:val="20"/>
        </w:rPr>
        <w:t xml:space="preserve">. </w:t>
      </w:r>
      <w:hyperlink r:id="rId29" w:tgtFrame="_blank" w:history="1">
        <w:r w:rsidRPr="00613400">
          <w:rPr>
            <w:rStyle w:val="Hyperlink"/>
            <w:rFonts w:asciiTheme="minorHAnsi" w:eastAsia="Times New Roman" w:hAnsiTheme="minorHAnsi" w:cstheme="minorHAnsi"/>
            <w:sz w:val="20"/>
            <w:szCs w:val="20"/>
          </w:rPr>
          <w:t>https://doi.org/10.1007/s00181-020-01859-7</w:t>
        </w:r>
      </w:hyperlink>
      <w:r w:rsidRPr="00613400">
        <w:rPr>
          <w:rFonts w:asciiTheme="minorHAnsi" w:eastAsia="Times New Roman" w:hAnsiTheme="minorHAnsi" w:cstheme="minorHAnsi"/>
          <w:sz w:val="20"/>
          <w:szCs w:val="20"/>
        </w:rPr>
        <w:t>.</w:t>
      </w:r>
    </w:p>
    <w:p w14:paraId="0A5ED922" w14:textId="77777777" w:rsidR="00613400" w:rsidRDefault="00613400" w:rsidP="0073265E">
      <w:pPr>
        <w:widowControl w:val="0"/>
        <w:autoSpaceDE w:val="0"/>
        <w:autoSpaceDN w:val="0"/>
        <w:spacing w:after="0" w:line="276" w:lineRule="auto"/>
        <w:jc w:val="both"/>
        <w:rPr>
          <w:rFonts w:asciiTheme="minorHAnsi" w:eastAsia="Times New Roman" w:hAnsiTheme="minorHAnsi" w:cstheme="minorHAnsi"/>
          <w:sz w:val="20"/>
          <w:szCs w:val="20"/>
        </w:rPr>
      </w:pPr>
    </w:p>
    <w:p w14:paraId="663E5BA9" w14:textId="3EE8F72A" w:rsidR="003062E4" w:rsidRPr="00935EAC" w:rsidRDefault="00CD5355" w:rsidP="0073265E">
      <w:pPr>
        <w:widowControl w:val="0"/>
        <w:autoSpaceDE w:val="0"/>
        <w:autoSpaceDN w:val="0"/>
        <w:spacing w:after="0" w:line="276" w:lineRule="auto"/>
        <w:jc w:val="both"/>
      </w:pPr>
      <w:r w:rsidRPr="0073265E">
        <w:rPr>
          <w:rFonts w:asciiTheme="minorHAnsi" w:eastAsia="Times New Roman" w:hAnsiTheme="minorHAnsi" w:cstheme="minorHAnsi"/>
          <w:sz w:val="20"/>
          <w:szCs w:val="20"/>
        </w:rPr>
        <w:lastRenderedPageBreak/>
        <w:t xml:space="preserve">Morita, R., Psaradakis, Z., Sola, M. &amp; Yunis, P. (2024). </w:t>
      </w:r>
      <w:r w:rsidRPr="00935EAC">
        <w:rPr>
          <w:rFonts w:asciiTheme="minorHAnsi" w:eastAsia="Times New Roman" w:hAnsiTheme="minorHAnsi" w:cstheme="minorHAnsi"/>
          <w:sz w:val="20"/>
          <w:szCs w:val="20"/>
        </w:rPr>
        <w:t>On testing for bubbles during hyperinflations. </w:t>
      </w:r>
      <w:r w:rsidRPr="00935EAC">
        <w:rPr>
          <w:rFonts w:asciiTheme="minorHAnsi" w:eastAsia="Times New Roman" w:hAnsiTheme="minorHAnsi" w:cstheme="minorHAnsi"/>
          <w:i/>
          <w:iCs/>
          <w:sz w:val="20"/>
          <w:szCs w:val="20"/>
        </w:rPr>
        <w:t>Studies in Nonlinear Dynamics &amp; Econometrics</w:t>
      </w:r>
      <w:r w:rsidRPr="00935EAC">
        <w:rPr>
          <w:rFonts w:asciiTheme="minorHAnsi" w:eastAsia="Times New Roman" w:hAnsiTheme="minorHAnsi" w:cstheme="minorHAnsi"/>
          <w:sz w:val="20"/>
          <w:szCs w:val="20"/>
        </w:rPr>
        <w:t>, </w:t>
      </w:r>
      <w:r w:rsidRPr="00935EAC">
        <w:rPr>
          <w:rFonts w:asciiTheme="minorHAnsi" w:eastAsia="Times New Roman" w:hAnsiTheme="minorHAnsi" w:cstheme="minorHAnsi"/>
          <w:i/>
          <w:iCs/>
          <w:sz w:val="20"/>
          <w:szCs w:val="20"/>
        </w:rPr>
        <w:t>28</w:t>
      </w:r>
      <w:r w:rsidRPr="00935EAC">
        <w:rPr>
          <w:rFonts w:asciiTheme="minorHAnsi" w:eastAsia="Times New Roman" w:hAnsiTheme="minorHAnsi" w:cstheme="minorHAnsi"/>
          <w:sz w:val="20"/>
          <w:szCs w:val="20"/>
        </w:rPr>
        <w:t>(1), 25-37. </w:t>
      </w:r>
      <w:hyperlink r:id="rId30" w:history="1">
        <w:r w:rsidRPr="00935EAC">
          <w:rPr>
            <w:rStyle w:val="Hyperlink"/>
            <w:rFonts w:asciiTheme="minorHAnsi" w:eastAsia="Times New Roman" w:hAnsiTheme="minorHAnsi" w:cstheme="minorHAnsi"/>
            <w:sz w:val="20"/>
            <w:szCs w:val="20"/>
          </w:rPr>
          <w:t>https://doi.org/10.1515/snde-2022-0014</w:t>
        </w:r>
      </w:hyperlink>
    </w:p>
    <w:p w14:paraId="2246A644" w14:textId="77777777" w:rsidR="00A56A40" w:rsidRPr="00935EAC" w:rsidRDefault="00A56A40" w:rsidP="0073265E">
      <w:pPr>
        <w:widowControl w:val="0"/>
        <w:autoSpaceDE w:val="0"/>
        <w:autoSpaceDN w:val="0"/>
        <w:spacing w:after="0" w:line="276" w:lineRule="auto"/>
        <w:jc w:val="both"/>
      </w:pPr>
    </w:p>
    <w:p w14:paraId="49E0192E" w14:textId="77777777" w:rsidR="00E0296D" w:rsidRDefault="00E0296D" w:rsidP="0073265E">
      <w:pPr>
        <w:widowControl w:val="0"/>
        <w:autoSpaceDE w:val="0"/>
        <w:autoSpaceDN w:val="0"/>
        <w:spacing w:after="0" w:line="276" w:lineRule="auto"/>
        <w:jc w:val="both"/>
        <w:rPr>
          <w:rFonts w:asciiTheme="minorHAnsi" w:eastAsia="Times New Roman" w:hAnsiTheme="minorHAnsi" w:cstheme="minorHAnsi"/>
          <w:sz w:val="20"/>
          <w:szCs w:val="20"/>
        </w:rPr>
      </w:pPr>
      <w:r w:rsidRPr="00E0296D">
        <w:rPr>
          <w:rFonts w:asciiTheme="minorHAnsi" w:eastAsia="Times New Roman" w:hAnsiTheme="minorHAnsi" w:cstheme="minorHAnsi"/>
          <w:sz w:val="20"/>
          <w:szCs w:val="20"/>
        </w:rPr>
        <w:t>Murphy, K. M., &amp; Topel, R. H. (1985). Estimation and Inference in Two-Step Econometric Models. </w:t>
      </w:r>
      <w:r w:rsidRPr="00E0296D">
        <w:rPr>
          <w:rFonts w:asciiTheme="minorHAnsi" w:eastAsia="Times New Roman" w:hAnsiTheme="minorHAnsi" w:cstheme="minorHAnsi"/>
          <w:i/>
          <w:iCs/>
          <w:sz w:val="20"/>
          <w:szCs w:val="20"/>
        </w:rPr>
        <w:t>Journal of Business &amp; Economic Statistics</w:t>
      </w:r>
      <w:r w:rsidRPr="00E0296D">
        <w:rPr>
          <w:rFonts w:asciiTheme="minorHAnsi" w:eastAsia="Times New Roman" w:hAnsiTheme="minorHAnsi" w:cstheme="minorHAnsi"/>
          <w:sz w:val="20"/>
          <w:szCs w:val="20"/>
        </w:rPr>
        <w:t>, </w:t>
      </w:r>
      <w:r w:rsidRPr="00E0296D">
        <w:rPr>
          <w:rFonts w:asciiTheme="minorHAnsi" w:eastAsia="Times New Roman" w:hAnsiTheme="minorHAnsi" w:cstheme="minorHAnsi"/>
          <w:i/>
          <w:iCs/>
          <w:sz w:val="20"/>
          <w:szCs w:val="20"/>
        </w:rPr>
        <w:t>3</w:t>
      </w:r>
      <w:r w:rsidRPr="00E0296D">
        <w:rPr>
          <w:rFonts w:asciiTheme="minorHAnsi" w:eastAsia="Times New Roman" w:hAnsiTheme="minorHAnsi" w:cstheme="minorHAnsi"/>
          <w:sz w:val="20"/>
          <w:szCs w:val="20"/>
        </w:rPr>
        <w:t>(4), 370–379. https://doi.org/10.2307/1391724</w:t>
      </w:r>
      <w:r w:rsidRPr="00E0296D">
        <w:rPr>
          <w:rFonts w:asciiTheme="minorHAnsi" w:eastAsia="Times New Roman" w:hAnsiTheme="minorHAnsi" w:cstheme="minorHAnsi"/>
          <w:sz w:val="20"/>
          <w:szCs w:val="20"/>
        </w:rPr>
        <w:t xml:space="preserve"> </w:t>
      </w:r>
    </w:p>
    <w:p w14:paraId="4DD5B8D2" w14:textId="77777777" w:rsidR="0043373C" w:rsidRPr="00935EAC"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p>
    <w:p w14:paraId="743D6B56" w14:textId="77777777" w:rsidR="0043373C" w:rsidRPr="00935EAC" w:rsidRDefault="00A56A40" w:rsidP="0073265E">
      <w:pPr>
        <w:widowControl w:val="0"/>
        <w:autoSpaceDE w:val="0"/>
        <w:autoSpaceDN w:val="0"/>
        <w:spacing w:after="0" w:line="276" w:lineRule="auto"/>
        <w:jc w:val="both"/>
        <w:rPr>
          <w:rFonts w:asciiTheme="minorHAnsi" w:eastAsia="Times New Roman" w:hAnsiTheme="minorHAnsi" w:cstheme="minorHAnsi"/>
          <w:sz w:val="20"/>
          <w:szCs w:val="20"/>
        </w:rPr>
      </w:pPr>
      <w:r w:rsidRPr="00935EAC">
        <w:rPr>
          <w:rFonts w:asciiTheme="minorHAnsi" w:eastAsia="Times New Roman" w:hAnsiTheme="minorHAnsi" w:cstheme="minorHAnsi"/>
          <w:sz w:val="20"/>
          <w:szCs w:val="20"/>
        </w:rPr>
        <w:t xml:space="preserve">Poulakis, T., &amp; Kyrkilis, D. (2024). A Non-Linear Approach to Current Account Sustainability—The Cases of Germany, China, and the USA. </w:t>
      </w:r>
      <w:r w:rsidRPr="00935EAC">
        <w:rPr>
          <w:rFonts w:asciiTheme="minorHAnsi" w:eastAsia="Times New Roman" w:hAnsiTheme="minorHAnsi" w:cstheme="minorHAnsi"/>
          <w:i/>
          <w:iCs/>
          <w:sz w:val="20"/>
          <w:szCs w:val="20"/>
        </w:rPr>
        <w:t>Journal of Risk and Financial Management</w:t>
      </w:r>
      <w:r w:rsidRPr="00935EAC">
        <w:rPr>
          <w:rFonts w:asciiTheme="minorHAnsi" w:eastAsia="Times New Roman" w:hAnsiTheme="minorHAnsi" w:cstheme="minorHAnsi"/>
          <w:sz w:val="20"/>
          <w:szCs w:val="20"/>
        </w:rPr>
        <w:t xml:space="preserve">, 17(12), 565. </w:t>
      </w:r>
      <w:hyperlink r:id="rId31" w:history="1">
        <w:r w:rsidRPr="00935EAC">
          <w:rPr>
            <w:rStyle w:val="Hyperlink"/>
            <w:rFonts w:asciiTheme="minorHAnsi" w:eastAsia="Times New Roman" w:hAnsiTheme="minorHAnsi" w:cstheme="minorHAnsi"/>
            <w:sz w:val="20"/>
            <w:szCs w:val="20"/>
          </w:rPr>
          <w:t>https://doi.org/10.3390/jrfm17120565</w:t>
        </w:r>
      </w:hyperlink>
      <w:r w:rsidR="0043373C" w:rsidRPr="00935EAC">
        <w:rPr>
          <w:rFonts w:asciiTheme="minorHAnsi" w:eastAsia="Times New Roman" w:hAnsiTheme="minorHAnsi" w:cstheme="minorHAnsi"/>
          <w:sz w:val="20"/>
          <w:szCs w:val="20"/>
        </w:rPr>
        <w:br/>
      </w:r>
      <w:r w:rsidR="0043373C" w:rsidRPr="00935EAC">
        <w:rPr>
          <w:rFonts w:asciiTheme="minorHAnsi" w:eastAsia="Times New Roman" w:hAnsiTheme="minorHAnsi" w:cstheme="minorHAnsi"/>
          <w:sz w:val="20"/>
          <w:szCs w:val="20"/>
        </w:rPr>
        <w:br/>
        <w:t xml:space="preserve">Psaradakis, Z., M. Sola, and F. Spagnolo. 2004. On Markov error-correction models, with an application to stock prices and dividends. </w:t>
      </w:r>
      <w:r w:rsidR="0043373C" w:rsidRPr="00935EAC">
        <w:rPr>
          <w:rFonts w:asciiTheme="minorHAnsi" w:eastAsia="Times New Roman" w:hAnsiTheme="minorHAnsi" w:cstheme="minorHAnsi"/>
          <w:i/>
          <w:iCs/>
          <w:sz w:val="20"/>
          <w:szCs w:val="20"/>
        </w:rPr>
        <w:t>Journal of Applied Econometrics</w:t>
      </w:r>
      <w:r w:rsidR="0043373C" w:rsidRPr="00935EAC">
        <w:rPr>
          <w:rFonts w:asciiTheme="minorHAnsi" w:eastAsia="Times New Roman" w:hAnsiTheme="minorHAnsi" w:cstheme="minorHAnsi"/>
          <w:sz w:val="20"/>
          <w:szCs w:val="20"/>
        </w:rPr>
        <w:t xml:space="preserve"> 19: 69–88.</w:t>
      </w:r>
    </w:p>
    <w:p w14:paraId="46CCC598" w14:textId="77777777" w:rsidR="0043373C" w:rsidRPr="00935EAC"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p>
    <w:p w14:paraId="38255290" w14:textId="77777777" w:rsidR="0043373C" w:rsidRPr="00935EAC"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r w:rsidRPr="00935EAC">
        <w:rPr>
          <w:rFonts w:asciiTheme="minorHAnsi" w:eastAsia="Times New Roman" w:hAnsiTheme="minorHAnsi" w:cstheme="minorHAnsi"/>
          <w:sz w:val="20"/>
          <w:szCs w:val="20"/>
        </w:rPr>
        <w:t xml:space="preserve">Raybaudi, M., M. Sola, and F. Spagnolo. 2004. Red Signals: current account deficits and sustainability. </w:t>
      </w:r>
      <w:r w:rsidRPr="00935EAC">
        <w:rPr>
          <w:rFonts w:asciiTheme="minorHAnsi" w:eastAsia="Times New Roman" w:hAnsiTheme="minorHAnsi" w:cstheme="minorHAnsi"/>
          <w:i/>
          <w:iCs/>
          <w:sz w:val="20"/>
          <w:szCs w:val="20"/>
        </w:rPr>
        <w:t>Economic Letters</w:t>
      </w:r>
      <w:r w:rsidRPr="00935EAC">
        <w:rPr>
          <w:rFonts w:asciiTheme="minorHAnsi" w:eastAsia="Times New Roman" w:hAnsiTheme="minorHAnsi" w:cstheme="minorHAnsi"/>
          <w:sz w:val="20"/>
          <w:szCs w:val="20"/>
        </w:rPr>
        <w:t xml:space="preserve"> 84: 217–223.</w:t>
      </w:r>
    </w:p>
    <w:p w14:paraId="67025CE1" w14:textId="77777777" w:rsidR="0043373C" w:rsidRPr="00935EAC"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p>
    <w:p w14:paraId="406FB279" w14:textId="7F4821C5" w:rsidR="00ED0156" w:rsidRPr="00935EAC" w:rsidRDefault="58085007" w:rsidP="58085007">
      <w:pPr>
        <w:widowControl w:val="0"/>
        <w:autoSpaceDE w:val="0"/>
        <w:autoSpaceDN w:val="0"/>
        <w:spacing w:after="0" w:line="276" w:lineRule="auto"/>
        <w:jc w:val="both"/>
        <w:rPr>
          <w:rFonts w:asciiTheme="minorHAnsi" w:eastAsia="Times New Roman" w:hAnsiTheme="minorHAnsi"/>
          <w:sz w:val="20"/>
          <w:szCs w:val="20"/>
        </w:rPr>
      </w:pPr>
      <w:r w:rsidRPr="58085007">
        <w:rPr>
          <w:rFonts w:asciiTheme="minorHAnsi" w:eastAsia="Times New Roman" w:hAnsiTheme="minorHAnsi"/>
          <w:sz w:val="20"/>
          <w:szCs w:val="20"/>
        </w:rPr>
        <w:t xml:space="preserve">Shi, S. 2013. Specification sensitivities in the Markov switching unit root test for bubbles. </w:t>
      </w:r>
      <w:r w:rsidRPr="58085007">
        <w:rPr>
          <w:rFonts w:asciiTheme="minorHAnsi" w:eastAsia="Times New Roman" w:hAnsiTheme="minorHAnsi"/>
          <w:i/>
          <w:iCs/>
          <w:sz w:val="20"/>
          <w:szCs w:val="20"/>
        </w:rPr>
        <w:t>Empirical Economics</w:t>
      </w:r>
      <w:r w:rsidRPr="58085007">
        <w:rPr>
          <w:rFonts w:asciiTheme="minorHAnsi" w:eastAsia="Times New Roman" w:hAnsiTheme="minorHAnsi"/>
          <w:sz w:val="20"/>
          <w:szCs w:val="20"/>
        </w:rPr>
        <w:t xml:space="preserve"> 45: 697–713. </w:t>
      </w:r>
      <w:hyperlink r:id="rId32">
        <w:r w:rsidRPr="58085007">
          <w:rPr>
            <w:rStyle w:val="Hyperlink"/>
            <w:rFonts w:asciiTheme="minorHAnsi" w:eastAsia="Times New Roman" w:hAnsiTheme="minorHAnsi"/>
            <w:sz w:val="20"/>
            <w:szCs w:val="20"/>
          </w:rPr>
          <w:t>https://doi.org/10.1007/s00181-012-0635-8</w:t>
        </w:r>
      </w:hyperlink>
    </w:p>
    <w:p w14:paraId="78A31629" w14:textId="77777777" w:rsidR="00ED0156" w:rsidRPr="00935EAC" w:rsidRDefault="00ED0156" w:rsidP="0073265E">
      <w:pPr>
        <w:widowControl w:val="0"/>
        <w:autoSpaceDE w:val="0"/>
        <w:autoSpaceDN w:val="0"/>
        <w:spacing w:after="0" w:line="276" w:lineRule="auto"/>
        <w:jc w:val="both"/>
        <w:rPr>
          <w:rFonts w:asciiTheme="minorHAnsi" w:eastAsia="Times New Roman" w:hAnsiTheme="minorHAnsi" w:cstheme="minorHAnsi"/>
          <w:sz w:val="20"/>
          <w:szCs w:val="20"/>
        </w:rPr>
      </w:pPr>
    </w:p>
    <w:p w14:paraId="728F393B" w14:textId="436E46E8" w:rsidR="0043373C" w:rsidRPr="00935EAC"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r w:rsidRPr="00935EAC">
        <w:rPr>
          <w:rFonts w:asciiTheme="minorHAnsi" w:eastAsia="Times New Roman" w:hAnsiTheme="minorHAnsi" w:cstheme="minorHAnsi"/>
          <w:sz w:val="20"/>
          <w:szCs w:val="20"/>
        </w:rPr>
        <w:t xml:space="preserve">Taylor, A. M. 2002. A century of current account dynamics. </w:t>
      </w:r>
      <w:r w:rsidRPr="00935EAC">
        <w:rPr>
          <w:rFonts w:asciiTheme="minorHAnsi" w:eastAsia="Times New Roman" w:hAnsiTheme="minorHAnsi" w:cstheme="minorHAnsi"/>
          <w:i/>
          <w:iCs/>
          <w:sz w:val="20"/>
          <w:szCs w:val="20"/>
        </w:rPr>
        <w:t>Journal of International Money and Finance</w:t>
      </w:r>
      <w:r w:rsidRPr="00935EAC">
        <w:rPr>
          <w:rFonts w:asciiTheme="minorHAnsi" w:eastAsia="Times New Roman" w:hAnsiTheme="minorHAnsi" w:cstheme="minorHAnsi"/>
          <w:sz w:val="20"/>
          <w:szCs w:val="20"/>
        </w:rPr>
        <w:t xml:space="preserve"> 21: 725–742.</w:t>
      </w:r>
      <w:r w:rsidRPr="00935EAC">
        <w:rPr>
          <w:rFonts w:asciiTheme="minorHAnsi" w:eastAsia="Times New Roman" w:hAnsiTheme="minorHAnsi" w:cstheme="minorHAnsi"/>
          <w:sz w:val="20"/>
          <w:szCs w:val="20"/>
        </w:rPr>
        <w:br/>
      </w:r>
      <w:r w:rsidRPr="00935EAC">
        <w:rPr>
          <w:rFonts w:asciiTheme="minorHAnsi" w:eastAsia="Times New Roman" w:hAnsiTheme="minorHAnsi" w:cstheme="minorHAnsi"/>
          <w:sz w:val="20"/>
          <w:szCs w:val="20"/>
        </w:rPr>
        <w:br/>
        <w:t xml:space="preserve">Trehan, B., and C. Walsh. 1991. Testing intertemporal budget constraints: Theory and applications to U.S. federal budget and current account deficits. </w:t>
      </w:r>
      <w:r w:rsidRPr="00935EAC">
        <w:rPr>
          <w:rFonts w:asciiTheme="minorHAnsi" w:eastAsia="Times New Roman" w:hAnsiTheme="minorHAnsi" w:cstheme="minorHAnsi"/>
          <w:i/>
          <w:iCs/>
          <w:sz w:val="20"/>
          <w:szCs w:val="20"/>
        </w:rPr>
        <w:t>Journal of Money, Credit and Banking</w:t>
      </w:r>
      <w:r w:rsidRPr="00935EAC">
        <w:rPr>
          <w:rFonts w:asciiTheme="minorHAnsi" w:eastAsia="Times New Roman" w:hAnsiTheme="minorHAnsi" w:cstheme="minorHAnsi"/>
          <w:sz w:val="20"/>
          <w:szCs w:val="20"/>
        </w:rPr>
        <w:t xml:space="preserve"> 23(2): 206–223.</w:t>
      </w:r>
    </w:p>
    <w:p w14:paraId="60FFD0E4" w14:textId="77777777" w:rsidR="00FD4624" w:rsidRPr="00935EAC" w:rsidRDefault="00FD4624" w:rsidP="0073265E">
      <w:pPr>
        <w:widowControl w:val="0"/>
        <w:autoSpaceDE w:val="0"/>
        <w:autoSpaceDN w:val="0"/>
        <w:spacing w:after="0" w:line="276" w:lineRule="auto"/>
        <w:jc w:val="both"/>
        <w:rPr>
          <w:rFonts w:eastAsia="Times New Roman" w:cs="Times New Roman"/>
          <w:sz w:val="22"/>
        </w:rPr>
      </w:pPr>
    </w:p>
    <w:p w14:paraId="5C7A2075" w14:textId="77777777" w:rsidR="00514562" w:rsidRPr="00935EAC" w:rsidRDefault="00514562" w:rsidP="00FD4624">
      <w:pPr>
        <w:widowControl w:val="0"/>
        <w:autoSpaceDE w:val="0"/>
        <w:autoSpaceDN w:val="0"/>
        <w:spacing w:after="0" w:line="276" w:lineRule="auto"/>
        <w:ind w:firstLine="360"/>
        <w:jc w:val="both"/>
        <w:rPr>
          <w:rFonts w:eastAsia="Times New Roman" w:cs="Times New Roman"/>
          <w:sz w:val="22"/>
        </w:rPr>
      </w:pPr>
      <w:r w:rsidRPr="00935EAC">
        <w:rPr>
          <w:rFonts w:eastAsia="Times New Roman" w:cs="Times New Roman"/>
          <w:sz w:val="22"/>
        </w:rPr>
        <w:br w:type="page"/>
      </w:r>
    </w:p>
    <w:p w14:paraId="6354DB42" w14:textId="6FB8D011" w:rsidR="003B23CC" w:rsidRPr="00935EAC" w:rsidRDefault="00B75B8F" w:rsidP="0073265E">
      <w:pPr>
        <w:widowControl w:val="0"/>
        <w:tabs>
          <w:tab w:val="left" w:pos="455"/>
        </w:tabs>
        <w:autoSpaceDE w:val="0"/>
        <w:autoSpaceDN w:val="0"/>
        <w:spacing w:before="132" w:after="0" w:line="276" w:lineRule="auto"/>
        <w:jc w:val="both"/>
        <w:outlineLvl w:val="0"/>
        <w:rPr>
          <w:rFonts w:eastAsia="Times New Roman" w:cs="Times New Roman"/>
          <w:b/>
          <w:bCs/>
          <w:spacing w:val="-2"/>
          <w:szCs w:val="24"/>
        </w:rPr>
      </w:pPr>
      <w:r w:rsidRPr="00935EAC">
        <w:rPr>
          <w:rFonts w:eastAsia="Times New Roman" w:cs="Times New Roman"/>
          <w:b/>
          <w:bCs/>
          <w:spacing w:val="-2"/>
          <w:szCs w:val="24"/>
        </w:rPr>
        <w:lastRenderedPageBreak/>
        <w:t>Appendix 1</w:t>
      </w:r>
      <w:r w:rsidR="005A68E5" w:rsidRPr="00935EAC">
        <w:rPr>
          <w:rFonts w:eastAsia="Times New Roman" w:cs="Times New Roman"/>
          <w:b/>
          <w:bCs/>
          <w:spacing w:val="-2"/>
          <w:szCs w:val="24"/>
        </w:rPr>
        <w:t>.</w:t>
      </w:r>
      <w:r w:rsidRPr="00935EAC">
        <w:rPr>
          <w:rFonts w:eastAsia="Times New Roman" w:cs="Times New Roman"/>
          <w:b/>
          <w:bCs/>
          <w:spacing w:val="-2"/>
          <w:szCs w:val="24"/>
        </w:rPr>
        <w:t xml:space="preserve"> </w:t>
      </w:r>
      <w:r w:rsidR="005A68E5" w:rsidRPr="00935EAC">
        <w:rPr>
          <w:rFonts w:eastAsia="Times New Roman" w:cs="Times New Roman"/>
          <w:b/>
          <w:bCs/>
          <w:spacing w:val="-2"/>
          <w:szCs w:val="24"/>
        </w:rPr>
        <w:t>S</w:t>
      </w:r>
      <w:r w:rsidRPr="00935EAC">
        <w:rPr>
          <w:rFonts w:eastAsia="Times New Roman" w:cs="Times New Roman"/>
          <w:b/>
          <w:bCs/>
          <w:spacing w:val="-2"/>
          <w:szCs w:val="24"/>
        </w:rPr>
        <w:t>ummary statistics by country for current account (% GDP)</w:t>
      </w:r>
    </w:p>
    <w:tbl>
      <w:tblPr>
        <w:tblW w:w="10000" w:type="dxa"/>
        <w:tblLook w:val="04A0" w:firstRow="1" w:lastRow="0" w:firstColumn="1" w:lastColumn="0" w:noHBand="0" w:noVBand="1"/>
      </w:tblPr>
      <w:tblGrid>
        <w:gridCol w:w="960"/>
        <w:gridCol w:w="2254"/>
        <w:gridCol w:w="1090"/>
        <w:gridCol w:w="1030"/>
        <w:gridCol w:w="1090"/>
        <w:gridCol w:w="1090"/>
        <w:gridCol w:w="956"/>
        <w:gridCol w:w="956"/>
        <w:gridCol w:w="574"/>
      </w:tblGrid>
      <w:tr w:rsidR="00AE739C" w:rsidRPr="00935EAC" w14:paraId="3BED2951" w14:textId="77777777" w:rsidTr="0073265E">
        <w:trPr>
          <w:trHeight w:val="170"/>
        </w:trPr>
        <w:tc>
          <w:tcPr>
            <w:tcW w:w="960" w:type="dxa"/>
            <w:tcBorders>
              <w:top w:val="single" w:sz="4" w:space="0" w:color="auto"/>
              <w:left w:val="nil"/>
              <w:bottom w:val="single" w:sz="4" w:space="0" w:color="auto"/>
              <w:right w:val="nil"/>
            </w:tcBorders>
            <w:shd w:val="clear" w:color="000000" w:fill="FFFFFF"/>
            <w:noWrap/>
            <w:vAlign w:val="bottom"/>
            <w:hideMark/>
          </w:tcPr>
          <w:p w14:paraId="5813DC2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 </w:t>
            </w:r>
          </w:p>
        </w:tc>
        <w:tc>
          <w:tcPr>
            <w:tcW w:w="2254" w:type="dxa"/>
            <w:tcBorders>
              <w:top w:val="single" w:sz="4" w:space="0" w:color="auto"/>
              <w:left w:val="nil"/>
              <w:bottom w:val="single" w:sz="4" w:space="0" w:color="auto"/>
              <w:right w:val="nil"/>
            </w:tcBorders>
            <w:shd w:val="clear" w:color="000000" w:fill="FFFFFF"/>
            <w:vAlign w:val="bottom"/>
            <w:hideMark/>
          </w:tcPr>
          <w:p w14:paraId="0CF0CDDC" w14:textId="77777777" w:rsidR="00AE739C" w:rsidRPr="00935EAC" w:rsidRDefault="00AE739C" w:rsidP="0073265E">
            <w:pPr>
              <w:spacing w:after="0" w:line="240" w:lineRule="auto"/>
              <w:jc w:val="both"/>
              <w:rPr>
                <w:rFonts w:eastAsia="Times New Roman" w:cs="Times New Roman"/>
                <w:b/>
                <w:bCs/>
                <w:color w:val="000000"/>
                <w:sz w:val="20"/>
                <w:szCs w:val="20"/>
              </w:rPr>
            </w:pPr>
            <w:r w:rsidRPr="00935EAC">
              <w:rPr>
                <w:rFonts w:eastAsia="Times New Roman" w:cs="Times New Roman"/>
                <w:b/>
                <w:bCs/>
                <w:color w:val="000000"/>
                <w:sz w:val="20"/>
                <w:szCs w:val="20"/>
              </w:rPr>
              <w:t>Country</w:t>
            </w:r>
          </w:p>
        </w:tc>
        <w:tc>
          <w:tcPr>
            <w:tcW w:w="1090" w:type="dxa"/>
            <w:tcBorders>
              <w:top w:val="single" w:sz="4" w:space="0" w:color="auto"/>
              <w:left w:val="nil"/>
              <w:bottom w:val="single" w:sz="4" w:space="0" w:color="auto"/>
              <w:right w:val="nil"/>
            </w:tcBorders>
            <w:shd w:val="clear" w:color="000000" w:fill="FFFFFF"/>
            <w:vAlign w:val="bottom"/>
            <w:hideMark/>
          </w:tcPr>
          <w:p w14:paraId="0D162BAB" w14:textId="77777777" w:rsidR="00AE739C" w:rsidRPr="00935EAC" w:rsidRDefault="00AE739C" w:rsidP="0073265E">
            <w:pPr>
              <w:spacing w:after="0" w:line="240" w:lineRule="auto"/>
              <w:jc w:val="both"/>
              <w:rPr>
                <w:rFonts w:eastAsia="Times New Roman" w:cs="Times New Roman"/>
                <w:b/>
                <w:bCs/>
                <w:color w:val="000000"/>
                <w:sz w:val="20"/>
                <w:szCs w:val="20"/>
              </w:rPr>
            </w:pPr>
            <w:r w:rsidRPr="00935EAC">
              <w:rPr>
                <w:rFonts w:eastAsia="Times New Roman" w:cs="Times New Roman"/>
                <w:b/>
                <w:bCs/>
                <w:color w:val="000000"/>
                <w:sz w:val="20"/>
                <w:szCs w:val="20"/>
              </w:rPr>
              <w:t>Mean</w:t>
            </w:r>
          </w:p>
        </w:tc>
        <w:tc>
          <w:tcPr>
            <w:tcW w:w="1030" w:type="dxa"/>
            <w:tcBorders>
              <w:top w:val="single" w:sz="4" w:space="0" w:color="auto"/>
              <w:left w:val="nil"/>
              <w:bottom w:val="single" w:sz="4" w:space="0" w:color="auto"/>
              <w:right w:val="nil"/>
            </w:tcBorders>
            <w:shd w:val="clear" w:color="000000" w:fill="FFFFFF"/>
            <w:vAlign w:val="bottom"/>
            <w:hideMark/>
          </w:tcPr>
          <w:p w14:paraId="2696022F" w14:textId="77777777" w:rsidR="00AE739C" w:rsidRPr="00935EAC" w:rsidRDefault="00AE739C" w:rsidP="0073265E">
            <w:pPr>
              <w:spacing w:after="0" w:line="240" w:lineRule="auto"/>
              <w:jc w:val="both"/>
              <w:rPr>
                <w:rFonts w:eastAsia="Times New Roman" w:cs="Times New Roman"/>
                <w:b/>
                <w:bCs/>
                <w:color w:val="000000"/>
                <w:sz w:val="20"/>
                <w:szCs w:val="20"/>
              </w:rPr>
            </w:pPr>
            <w:r w:rsidRPr="00935EAC">
              <w:rPr>
                <w:rFonts w:eastAsia="Times New Roman" w:cs="Times New Roman"/>
                <w:b/>
                <w:bCs/>
                <w:color w:val="000000"/>
                <w:sz w:val="20"/>
                <w:szCs w:val="20"/>
              </w:rPr>
              <w:t>SD</w:t>
            </w:r>
          </w:p>
        </w:tc>
        <w:tc>
          <w:tcPr>
            <w:tcW w:w="1090" w:type="dxa"/>
            <w:tcBorders>
              <w:top w:val="single" w:sz="4" w:space="0" w:color="auto"/>
              <w:left w:val="nil"/>
              <w:bottom w:val="single" w:sz="4" w:space="0" w:color="auto"/>
              <w:right w:val="nil"/>
            </w:tcBorders>
            <w:shd w:val="clear" w:color="000000" w:fill="FFFFFF"/>
            <w:vAlign w:val="bottom"/>
            <w:hideMark/>
          </w:tcPr>
          <w:p w14:paraId="63DE8E5A" w14:textId="77777777" w:rsidR="00AE739C" w:rsidRPr="00935EAC" w:rsidRDefault="00AE739C" w:rsidP="0073265E">
            <w:pPr>
              <w:spacing w:after="0" w:line="240" w:lineRule="auto"/>
              <w:jc w:val="both"/>
              <w:rPr>
                <w:rFonts w:eastAsia="Times New Roman" w:cs="Times New Roman"/>
                <w:b/>
                <w:bCs/>
                <w:color w:val="000000"/>
                <w:sz w:val="20"/>
                <w:szCs w:val="20"/>
              </w:rPr>
            </w:pPr>
            <w:r w:rsidRPr="00935EAC">
              <w:rPr>
                <w:rFonts w:eastAsia="Times New Roman" w:cs="Times New Roman"/>
                <w:b/>
                <w:bCs/>
                <w:color w:val="000000"/>
                <w:sz w:val="20"/>
                <w:szCs w:val="20"/>
              </w:rPr>
              <w:t>Min</w:t>
            </w:r>
          </w:p>
        </w:tc>
        <w:tc>
          <w:tcPr>
            <w:tcW w:w="1090" w:type="dxa"/>
            <w:tcBorders>
              <w:top w:val="single" w:sz="4" w:space="0" w:color="auto"/>
              <w:left w:val="nil"/>
              <w:bottom w:val="single" w:sz="4" w:space="0" w:color="auto"/>
              <w:right w:val="nil"/>
            </w:tcBorders>
            <w:shd w:val="clear" w:color="000000" w:fill="FFFFFF"/>
            <w:vAlign w:val="bottom"/>
            <w:hideMark/>
          </w:tcPr>
          <w:p w14:paraId="6C080542" w14:textId="77777777" w:rsidR="00AE739C" w:rsidRPr="00935EAC" w:rsidRDefault="00AE739C" w:rsidP="0073265E">
            <w:pPr>
              <w:spacing w:after="0" w:line="240" w:lineRule="auto"/>
              <w:jc w:val="both"/>
              <w:rPr>
                <w:rFonts w:eastAsia="Times New Roman" w:cs="Times New Roman"/>
                <w:b/>
                <w:bCs/>
                <w:color w:val="000000"/>
                <w:sz w:val="20"/>
                <w:szCs w:val="20"/>
              </w:rPr>
            </w:pPr>
            <w:r w:rsidRPr="00935EAC">
              <w:rPr>
                <w:rFonts w:eastAsia="Times New Roman" w:cs="Times New Roman"/>
                <w:b/>
                <w:bCs/>
                <w:color w:val="000000"/>
                <w:sz w:val="20"/>
                <w:szCs w:val="20"/>
              </w:rPr>
              <w:t>Max</w:t>
            </w:r>
          </w:p>
        </w:tc>
        <w:tc>
          <w:tcPr>
            <w:tcW w:w="956" w:type="dxa"/>
            <w:tcBorders>
              <w:top w:val="single" w:sz="4" w:space="0" w:color="auto"/>
              <w:left w:val="nil"/>
              <w:bottom w:val="single" w:sz="4" w:space="0" w:color="auto"/>
              <w:right w:val="nil"/>
            </w:tcBorders>
            <w:shd w:val="clear" w:color="000000" w:fill="FFFFFF"/>
            <w:vAlign w:val="bottom"/>
            <w:hideMark/>
          </w:tcPr>
          <w:p w14:paraId="0ABEAAC4" w14:textId="77777777" w:rsidR="00AE739C" w:rsidRPr="00935EAC" w:rsidRDefault="00AE739C" w:rsidP="0073265E">
            <w:pPr>
              <w:spacing w:after="0" w:line="240" w:lineRule="auto"/>
              <w:jc w:val="both"/>
              <w:rPr>
                <w:rFonts w:eastAsia="Times New Roman" w:cs="Times New Roman"/>
                <w:b/>
                <w:bCs/>
                <w:color w:val="000000"/>
                <w:sz w:val="20"/>
                <w:szCs w:val="20"/>
              </w:rPr>
            </w:pPr>
            <w:r w:rsidRPr="00935EAC">
              <w:rPr>
                <w:rFonts w:eastAsia="Times New Roman" w:cs="Times New Roman"/>
                <w:b/>
                <w:bCs/>
                <w:color w:val="000000"/>
                <w:sz w:val="20"/>
                <w:szCs w:val="20"/>
              </w:rPr>
              <w:t>Start</w:t>
            </w:r>
          </w:p>
        </w:tc>
        <w:tc>
          <w:tcPr>
            <w:tcW w:w="956" w:type="dxa"/>
            <w:tcBorders>
              <w:top w:val="single" w:sz="4" w:space="0" w:color="auto"/>
              <w:left w:val="nil"/>
              <w:bottom w:val="single" w:sz="4" w:space="0" w:color="auto"/>
              <w:right w:val="nil"/>
            </w:tcBorders>
            <w:shd w:val="clear" w:color="000000" w:fill="FFFFFF"/>
            <w:vAlign w:val="bottom"/>
            <w:hideMark/>
          </w:tcPr>
          <w:p w14:paraId="4FA9E95C" w14:textId="77777777" w:rsidR="00AE739C" w:rsidRPr="00935EAC" w:rsidRDefault="00AE739C" w:rsidP="0073265E">
            <w:pPr>
              <w:spacing w:after="0" w:line="240" w:lineRule="auto"/>
              <w:jc w:val="both"/>
              <w:rPr>
                <w:rFonts w:eastAsia="Times New Roman" w:cs="Times New Roman"/>
                <w:b/>
                <w:bCs/>
                <w:color w:val="000000"/>
                <w:sz w:val="20"/>
                <w:szCs w:val="20"/>
              </w:rPr>
            </w:pPr>
            <w:r w:rsidRPr="00935EAC">
              <w:rPr>
                <w:rFonts w:eastAsia="Times New Roman" w:cs="Times New Roman"/>
                <w:b/>
                <w:bCs/>
                <w:color w:val="000000"/>
                <w:sz w:val="20"/>
                <w:szCs w:val="20"/>
              </w:rPr>
              <w:t>End</w:t>
            </w:r>
          </w:p>
        </w:tc>
        <w:tc>
          <w:tcPr>
            <w:tcW w:w="574" w:type="dxa"/>
            <w:tcBorders>
              <w:top w:val="single" w:sz="4" w:space="0" w:color="auto"/>
              <w:left w:val="nil"/>
              <w:bottom w:val="single" w:sz="4" w:space="0" w:color="auto"/>
              <w:right w:val="nil"/>
            </w:tcBorders>
            <w:shd w:val="clear" w:color="000000" w:fill="FFFFFF"/>
            <w:vAlign w:val="bottom"/>
            <w:hideMark/>
          </w:tcPr>
          <w:p w14:paraId="446A4530" w14:textId="77777777" w:rsidR="00AE739C" w:rsidRPr="00935EAC" w:rsidRDefault="00AE739C" w:rsidP="0073265E">
            <w:pPr>
              <w:spacing w:after="0" w:line="240" w:lineRule="auto"/>
              <w:jc w:val="both"/>
              <w:rPr>
                <w:rFonts w:eastAsia="Times New Roman" w:cs="Times New Roman"/>
                <w:b/>
                <w:bCs/>
                <w:color w:val="000000"/>
                <w:sz w:val="20"/>
                <w:szCs w:val="20"/>
              </w:rPr>
            </w:pPr>
            <w:r w:rsidRPr="00935EAC">
              <w:rPr>
                <w:rFonts w:eastAsia="Times New Roman" w:cs="Times New Roman"/>
                <w:b/>
                <w:bCs/>
                <w:color w:val="000000"/>
                <w:sz w:val="20"/>
                <w:szCs w:val="20"/>
              </w:rPr>
              <w:t>N</w:t>
            </w:r>
          </w:p>
        </w:tc>
      </w:tr>
      <w:tr w:rsidR="00AE739C" w:rsidRPr="00935EAC" w14:paraId="361BD7F9" w14:textId="77777777" w:rsidTr="0073265E">
        <w:trPr>
          <w:trHeight w:val="170"/>
        </w:trPr>
        <w:tc>
          <w:tcPr>
            <w:tcW w:w="960" w:type="dxa"/>
            <w:tcBorders>
              <w:top w:val="nil"/>
              <w:left w:val="nil"/>
              <w:bottom w:val="nil"/>
              <w:right w:val="nil"/>
            </w:tcBorders>
            <w:shd w:val="clear" w:color="000000" w:fill="FFFFFF"/>
            <w:noWrap/>
            <w:vAlign w:val="bottom"/>
            <w:hideMark/>
          </w:tcPr>
          <w:p w14:paraId="1456CAF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w:t>
            </w:r>
          </w:p>
        </w:tc>
        <w:tc>
          <w:tcPr>
            <w:tcW w:w="2254" w:type="dxa"/>
            <w:tcBorders>
              <w:top w:val="nil"/>
              <w:left w:val="nil"/>
              <w:bottom w:val="nil"/>
              <w:right w:val="nil"/>
            </w:tcBorders>
            <w:shd w:val="clear" w:color="000000" w:fill="FFFFFF"/>
            <w:noWrap/>
            <w:vAlign w:val="bottom"/>
            <w:hideMark/>
          </w:tcPr>
          <w:p w14:paraId="60B5249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Albania</w:t>
            </w:r>
          </w:p>
        </w:tc>
        <w:tc>
          <w:tcPr>
            <w:tcW w:w="1090" w:type="dxa"/>
            <w:tcBorders>
              <w:top w:val="nil"/>
              <w:left w:val="nil"/>
              <w:bottom w:val="nil"/>
              <w:right w:val="nil"/>
            </w:tcBorders>
            <w:shd w:val="clear" w:color="000000" w:fill="FFFFFF"/>
            <w:noWrap/>
            <w:vAlign w:val="bottom"/>
            <w:hideMark/>
          </w:tcPr>
          <w:p w14:paraId="2049C44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-6.541</w:t>
            </w:r>
          </w:p>
        </w:tc>
        <w:tc>
          <w:tcPr>
            <w:tcW w:w="1030" w:type="dxa"/>
            <w:tcBorders>
              <w:top w:val="nil"/>
              <w:left w:val="nil"/>
              <w:bottom w:val="nil"/>
              <w:right w:val="nil"/>
            </w:tcBorders>
            <w:shd w:val="clear" w:color="000000" w:fill="FFFFFF"/>
            <w:noWrap/>
            <w:vAlign w:val="bottom"/>
            <w:hideMark/>
          </w:tcPr>
          <w:p w14:paraId="48FB57D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2.823</w:t>
            </w:r>
          </w:p>
        </w:tc>
        <w:tc>
          <w:tcPr>
            <w:tcW w:w="1090" w:type="dxa"/>
            <w:tcBorders>
              <w:top w:val="nil"/>
              <w:left w:val="nil"/>
              <w:bottom w:val="nil"/>
              <w:right w:val="nil"/>
            </w:tcBorders>
            <w:shd w:val="clear" w:color="000000" w:fill="FFFFFF"/>
            <w:noWrap/>
            <w:vAlign w:val="bottom"/>
            <w:hideMark/>
          </w:tcPr>
          <w:p w14:paraId="6D66C07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-11.295</w:t>
            </w:r>
          </w:p>
        </w:tc>
        <w:tc>
          <w:tcPr>
            <w:tcW w:w="1090" w:type="dxa"/>
            <w:tcBorders>
              <w:top w:val="nil"/>
              <w:left w:val="nil"/>
              <w:bottom w:val="nil"/>
              <w:right w:val="nil"/>
            </w:tcBorders>
            <w:shd w:val="clear" w:color="000000" w:fill="FFFFFF"/>
            <w:noWrap/>
            <w:vAlign w:val="bottom"/>
            <w:hideMark/>
          </w:tcPr>
          <w:p w14:paraId="19F2160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0.461</w:t>
            </w:r>
          </w:p>
        </w:tc>
        <w:tc>
          <w:tcPr>
            <w:tcW w:w="956" w:type="dxa"/>
            <w:tcBorders>
              <w:top w:val="nil"/>
              <w:left w:val="nil"/>
              <w:bottom w:val="nil"/>
              <w:right w:val="nil"/>
            </w:tcBorders>
            <w:shd w:val="clear" w:color="000000" w:fill="FFFFFF"/>
            <w:noWrap/>
            <w:vAlign w:val="bottom"/>
            <w:hideMark/>
          </w:tcPr>
          <w:p w14:paraId="7744F0E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2015-Q1</w:t>
            </w:r>
          </w:p>
        </w:tc>
        <w:tc>
          <w:tcPr>
            <w:tcW w:w="956" w:type="dxa"/>
            <w:tcBorders>
              <w:top w:val="nil"/>
              <w:left w:val="nil"/>
              <w:bottom w:val="nil"/>
              <w:right w:val="nil"/>
            </w:tcBorders>
            <w:shd w:val="clear" w:color="000000" w:fill="FFFFFF"/>
            <w:noWrap/>
            <w:vAlign w:val="bottom"/>
            <w:hideMark/>
          </w:tcPr>
          <w:p w14:paraId="2ADB85C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2024-Q3</w:t>
            </w:r>
          </w:p>
        </w:tc>
        <w:tc>
          <w:tcPr>
            <w:tcW w:w="574" w:type="dxa"/>
            <w:tcBorders>
              <w:top w:val="nil"/>
              <w:left w:val="nil"/>
              <w:bottom w:val="nil"/>
              <w:right w:val="nil"/>
            </w:tcBorders>
            <w:shd w:val="clear" w:color="000000" w:fill="FFFFFF"/>
            <w:noWrap/>
            <w:vAlign w:val="bottom"/>
            <w:hideMark/>
          </w:tcPr>
          <w:p w14:paraId="42A7B01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39</w:t>
            </w:r>
          </w:p>
        </w:tc>
      </w:tr>
      <w:tr w:rsidR="00AE739C" w:rsidRPr="00935EAC" w14:paraId="3DA2451D" w14:textId="77777777" w:rsidTr="0073265E">
        <w:trPr>
          <w:trHeight w:val="170"/>
        </w:trPr>
        <w:tc>
          <w:tcPr>
            <w:tcW w:w="960" w:type="dxa"/>
            <w:tcBorders>
              <w:top w:val="nil"/>
              <w:left w:val="nil"/>
              <w:bottom w:val="nil"/>
              <w:right w:val="nil"/>
            </w:tcBorders>
            <w:shd w:val="clear" w:color="000000" w:fill="FFFFFF"/>
            <w:noWrap/>
            <w:vAlign w:val="bottom"/>
            <w:hideMark/>
          </w:tcPr>
          <w:p w14:paraId="65392EF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w:t>
            </w:r>
          </w:p>
        </w:tc>
        <w:tc>
          <w:tcPr>
            <w:tcW w:w="2254" w:type="dxa"/>
            <w:tcBorders>
              <w:top w:val="nil"/>
              <w:left w:val="nil"/>
              <w:bottom w:val="nil"/>
              <w:right w:val="nil"/>
            </w:tcBorders>
            <w:shd w:val="clear" w:color="000000" w:fill="FFFFFF"/>
            <w:noWrap/>
            <w:vAlign w:val="bottom"/>
            <w:hideMark/>
          </w:tcPr>
          <w:p w14:paraId="5DCBACD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Argentina</w:t>
            </w:r>
          </w:p>
        </w:tc>
        <w:tc>
          <w:tcPr>
            <w:tcW w:w="1090" w:type="dxa"/>
            <w:tcBorders>
              <w:top w:val="nil"/>
              <w:left w:val="nil"/>
              <w:bottom w:val="nil"/>
              <w:right w:val="nil"/>
            </w:tcBorders>
            <w:shd w:val="clear" w:color="000000" w:fill="FFFFFF"/>
            <w:noWrap/>
            <w:vAlign w:val="bottom"/>
            <w:hideMark/>
          </w:tcPr>
          <w:p w14:paraId="69B1CE2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-0.619</w:t>
            </w:r>
          </w:p>
        </w:tc>
        <w:tc>
          <w:tcPr>
            <w:tcW w:w="1030" w:type="dxa"/>
            <w:tcBorders>
              <w:top w:val="nil"/>
              <w:left w:val="nil"/>
              <w:bottom w:val="nil"/>
              <w:right w:val="nil"/>
            </w:tcBorders>
            <w:shd w:val="clear" w:color="000000" w:fill="FFFFFF"/>
            <w:noWrap/>
            <w:vAlign w:val="bottom"/>
            <w:hideMark/>
          </w:tcPr>
          <w:p w14:paraId="653D99A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3.812</w:t>
            </w:r>
          </w:p>
        </w:tc>
        <w:tc>
          <w:tcPr>
            <w:tcW w:w="1090" w:type="dxa"/>
            <w:tcBorders>
              <w:top w:val="nil"/>
              <w:left w:val="nil"/>
              <w:bottom w:val="nil"/>
              <w:right w:val="nil"/>
            </w:tcBorders>
            <w:shd w:val="clear" w:color="000000" w:fill="FFFFFF"/>
            <w:noWrap/>
            <w:vAlign w:val="bottom"/>
            <w:hideMark/>
          </w:tcPr>
          <w:p w14:paraId="073CC1C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-13.387</w:t>
            </w:r>
          </w:p>
        </w:tc>
        <w:tc>
          <w:tcPr>
            <w:tcW w:w="1090" w:type="dxa"/>
            <w:tcBorders>
              <w:top w:val="nil"/>
              <w:left w:val="nil"/>
              <w:bottom w:val="nil"/>
              <w:right w:val="nil"/>
            </w:tcBorders>
            <w:shd w:val="clear" w:color="000000" w:fill="FFFFFF"/>
            <w:noWrap/>
            <w:vAlign w:val="bottom"/>
            <w:hideMark/>
          </w:tcPr>
          <w:p w14:paraId="40E30A3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13.851</w:t>
            </w:r>
          </w:p>
        </w:tc>
        <w:tc>
          <w:tcPr>
            <w:tcW w:w="956" w:type="dxa"/>
            <w:tcBorders>
              <w:top w:val="nil"/>
              <w:left w:val="nil"/>
              <w:bottom w:val="nil"/>
              <w:right w:val="nil"/>
            </w:tcBorders>
            <w:shd w:val="clear" w:color="000000" w:fill="FFFFFF"/>
            <w:noWrap/>
            <w:vAlign w:val="bottom"/>
            <w:hideMark/>
          </w:tcPr>
          <w:p w14:paraId="610CDEA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1985-Q1</w:t>
            </w:r>
          </w:p>
        </w:tc>
        <w:tc>
          <w:tcPr>
            <w:tcW w:w="956" w:type="dxa"/>
            <w:tcBorders>
              <w:top w:val="nil"/>
              <w:left w:val="nil"/>
              <w:bottom w:val="nil"/>
              <w:right w:val="nil"/>
            </w:tcBorders>
            <w:shd w:val="clear" w:color="000000" w:fill="FFFFFF"/>
            <w:noWrap/>
            <w:vAlign w:val="bottom"/>
            <w:hideMark/>
          </w:tcPr>
          <w:p w14:paraId="45C6058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58CFF97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160</w:t>
            </w:r>
          </w:p>
        </w:tc>
      </w:tr>
      <w:tr w:rsidR="00AE739C" w:rsidRPr="00935EAC" w14:paraId="5C857FED" w14:textId="77777777" w:rsidTr="0073265E">
        <w:trPr>
          <w:trHeight w:val="170"/>
        </w:trPr>
        <w:tc>
          <w:tcPr>
            <w:tcW w:w="960" w:type="dxa"/>
            <w:tcBorders>
              <w:top w:val="nil"/>
              <w:left w:val="nil"/>
              <w:bottom w:val="nil"/>
              <w:right w:val="nil"/>
            </w:tcBorders>
            <w:shd w:val="clear" w:color="000000" w:fill="FFFFFF"/>
            <w:noWrap/>
            <w:vAlign w:val="bottom"/>
            <w:hideMark/>
          </w:tcPr>
          <w:p w14:paraId="15423F2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w:t>
            </w:r>
          </w:p>
        </w:tc>
        <w:tc>
          <w:tcPr>
            <w:tcW w:w="2254" w:type="dxa"/>
            <w:tcBorders>
              <w:top w:val="nil"/>
              <w:left w:val="nil"/>
              <w:bottom w:val="nil"/>
              <w:right w:val="nil"/>
            </w:tcBorders>
            <w:shd w:val="clear" w:color="000000" w:fill="FFFFFF"/>
            <w:noWrap/>
            <w:vAlign w:val="bottom"/>
            <w:hideMark/>
          </w:tcPr>
          <w:p w14:paraId="297E92C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Armenia</w:t>
            </w:r>
          </w:p>
        </w:tc>
        <w:tc>
          <w:tcPr>
            <w:tcW w:w="1090" w:type="dxa"/>
            <w:tcBorders>
              <w:top w:val="nil"/>
              <w:left w:val="nil"/>
              <w:bottom w:val="nil"/>
              <w:right w:val="nil"/>
            </w:tcBorders>
            <w:shd w:val="clear" w:color="000000" w:fill="FFFFFF"/>
            <w:noWrap/>
            <w:vAlign w:val="bottom"/>
            <w:hideMark/>
          </w:tcPr>
          <w:p w14:paraId="77D2295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-11.246</w:t>
            </w:r>
          </w:p>
        </w:tc>
        <w:tc>
          <w:tcPr>
            <w:tcW w:w="1030" w:type="dxa"/>
            <w:tcBorders>
              <w:top w:val="nil"/>
              <w:left w:val="nil"/>
              <w:bottom w:val="nil"/>
              <w:right w:val="nil"/>
            </w:tcBorders>
            <w:shd w:val="clear" w:color="000000" w:fill="FFFFFF"/>
            <w:noWrap/>
            <w:vAlign w:val="bottom"/>
            <w:hideMark/>
          </w:tcPr>
          <w:p w14:paraId="548A011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9.544</w:t>
            </w:r>
          </w:p>
        </w:tc>
        <w:tc>
          <w:tcPr>
            <w:tcW w:w="1090" w:type="dxa"/>
            <w:tcBorders>
              <w:top w:val="nil"/>
              <w:left w:val="nil"/>
              <w:bottom w:val="nil"/>
              <w:right w:val="nil"/>
            </w:tcBorders>
            <w:shd w:val="clear" w:color="000000" w:fill="FFFFFF"/>
            <w:noWrap/>
            <w:vAlign w:val="bottom"/>
            <w:hideMark/>
          </w:tcPr>
          <w:p w14:paraId="4D59D36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-52.759</w:t>
            </w:r>
          </w:p>
        </w:tc>
        <w:tc>
          <w:tcPr>
            <w:tcW w:w="1090" w:type="dxa"/>
            <w:tcBorders>
              <w:top w:val="nil"/>
              <w:left w:val="nil"/>
              <w:bottom w:val="nil"/>
              <w:right w:val="nil"/>
            </w:tcBorders>
            <w:shd w:val="clear" w:color="000000" w:fill="FFFFFF"/>
            <w:noWrap/>
            <w:vAlign w:val="bottom"/>
            <w:hideMark/>
          </w:tcPr>
          <w:p w14:paraId="0A10321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2.022</w:t>
            </w:r>
          </w:p>
        </w:tc>
        <w:tc>
          <w:tcPr>
            <w:tcW w:w="956" w:type="dxa"/>
            <w:tcBorders>
              <w:top w:val="nil"/>
              <w:left w:val="nil"/>
              <w:bottom w:val="nil"/>
              <w:right w:val="nil"/>
            </w:tcBorders>
            <w:shd w:val="clear" w:color="000000" w:fill="FFFFFF"/>
            <w:noWrap/>
            <w:vAlign w:val="bottom"/>
            <w:hideMark/>
          </w:tcPr>
          <w:p w14:paraId="2A5F93F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1994-Q1</w:t>
            </w:r>
          </w:p>
        </w:tc>
        <w:tc>
          <w:tcPr>
            <w:tcW w:w="956" w:type="dxa"/>
            <w:tcBorders>
              <w:top w:val="nil"/>
              <w:left w:val="nil"/>
              <w:bottom w:val="nil"/>
              <w:right w:val="nil"/>
            </w:tcBorders>
            <w:shd w:val="clear" w:color="000000" w:fill="FFFFFF"/>
            <w:noWrap/>
            <w:vAlign w:val="bottom"/>
            <w:hideMark/>
          </w:tcPr>
          <w:p w14:paraId="2FBC809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2020-Q3</w:t>
            </w:r>
          </w:p>
        </w:tc>
        <w:tc>
          <w:tcPr>
            <w:tcW w:w="574" w:type="dxa"/>
            <w:tcBorders>
              <w:top w:val="nil"/>
              <w:left w:val="nil"/>
              <w:bottom w:val="nil"/>
              <w:right w:val="nil"/>
            </w:tcBorders>
            <w:shd w:val="clear" w:color="000000" w:fill="FFFFFF"/>
            <w:noWrap/>
            <w:vAlign w:val="bottom"/>
            <w:hideMark/>
          </w:tcPr>
          <w:p w14:paraId="6D9DDF1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107</w:t>
            </w:r>
          </w:p>
        </w:tc>
      </w:tr>
      <w:tr w:rsidR="00AE739C" w:rsidRPr="00935EAC" w14:paraId="3CD379C1" w14:textId="77777777" w:rsidTr="0073265E">
        <w:trPr>
          <w:trHeight w:val="170"/>
        </w:trPr>
        <w:tc>
          <w:tcPr>
            <w:tcW w:w="960" w:type="dxa"/>
            <w:tcBorders>
              <w:top w:val="nil"/>
              <w:left w:val="nil"/>
              <w:bottom w:val="nil"/>
              <w:right w:val="nil"/>
            </w:tcBorders>
            <w:shd w:val="clear" w:color="000000" w:fill="FFFFFF"/>
            <w:noWrap/>
            <w:vAlign w:val="bottom"/>
            <w:hideMark/>
          </w:tcPr>
          <w:p w14:paraId="0889950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w:t>
            </w:r>
          </w:p>
        </w:tc>
        <w:tc>
          <w:tcPr>
            <w:tcW w:w="2254" w:type="dxa"/>
            <w:tcBorders>
              <w:top w:val="nil"/>
              <w:left w:val="nil"/>
              <w:bottom w:val="nil"/>
              <w:right w:val="nil"/>
            </w:tcBorders>
            <w:shd w:val="clear" w:color="000000" w:fill="FFFFFF"/>
            <w:noWrap/>
            <w:vAlign w:val="bottom"/>
            <w:hideMark/>
          </w:tcPr>
          <w:p w14:paraId="2126A63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Australia</w:t>
            </w:r>
          </w:p>
        </w:tc>
        <w:tc>
          <w:tcPr>
            <w:tcW w:w="1090" w:type="dxa"/>
            <w:tcBorders>
              <w:top w:val="nil"/>
              <w:left w:val="nil"/>
              <w:bottom w:val="nil"/>
              <w:right w:val="nil"/>
            </w:tcBorders>
            <w:shd w:val="clear" w:color="000000" w:fill="FFFFFF"/>
            <w:noWrap/>
            <w:vAlign w:val="bottom"/>
            <w:hideMark/>
          </w:tcPr>
          <w:p w14:paraId="62C2D40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-2.963</w:t>
            </w:r>
          </w:p>
        </w:tc>
        <w:tc>
          <w:tcPr>
            <w:tcW w:w="1030" w:type="dxa"/>
            <w:tcBorders>
              <w:top w:val="nil"/>
              <w:left w:val="nil"/>
              <w:bottom w:val="nil"/>
              <w:right w:val="nil"/>
            </w:tcBorders>
            <w:shd w:val="clear" w:color="000000" w:fill="FFFFFF"/>
            <w:noWrap/>
            <w:vAlign w:val="bottom"/>
            <w:hideMark/>
          </w:tcPr>
          <w:p w14:paraId="674C36A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2.167</w:t>
            </w:r>
          </w:p>
        </w:tc>
        <w:tc>
          <w:tcPr>
            <w:tcW w:w="1090" w:type="dxa"/>
            <w:tcBorders>
              <w:top w:val="nil"/>
              <w:left w:val="nil"/>
              <w:bottom w:val="nil"/>
              <w:right w:val="nil"/>
            </w:tcBorders>
            <w:shd w:val="clear" w:color="000000" w:fill="FFFFFF"/>
            <w:noWrap/>
            <w:vAlign w:val="bottom"/>
            <w:hideMark/>
          </w:tcPr>
          <w:p w14:paraId="71D8998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-7.323</w:t>
            </w:r>
          </w:p>
        </w:tc>
        <w:tc>
          <w:tcPr>
            <w:tcW w:w="1090" w:type="dxa"/>
            <w:tcBorders>
              <w:top w:val="nil"/>
              <w:left w:val="nil"/>
              <w:bottom w:val="nil"/>
              <w:right w:val="nil"/>
            </w:tcBorders>
            <w:shd w:val="clear" w:color="000000" w:fill="FFFFFF"/>
            <w:noWrap/>
            <w:vAlign w:val="bottom"/>
            <w:hideMark/>
          </w:tcPr>
          <w:p w14:paraId="1D869E1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3.532</w:t>
            </w:r>
          </w:p>
        </w:tc>
        <w:tc>
          <w:tcPr>
            <w:tcW w:w="956" w:type="dxa"/>
            <w:tcBorders>
              <w:top w:val="nil"/>
              <w:left w:val="nil"/>
              <w:bottom w:val="nil"/>
              <w:right w:val="nil"/>
            </w:tcBorders>
            <w:shd w:val="clear" w:color="000000" w:fill="FFFFFF"/>
            <w:noWrap/>
            <w:vAlign w:val="bottom"/>
            <w:hideMark/>
          </w:tcPr>
          <w:p w14:paraId="506CC93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1960-Q1</w:t>
            </w:r>
          </w:p>
        </w:tc>
        <w:tc>
          <w:tcPr>
            <w:tcW w:w="956" w:type="dxa"/>
            <w:tcBorders>
              <w:top w:val="nil"/>
              <w:left w:val="nil"/>
              <w:bottom w:val="nil"/>
              <w:right w:val="nil"/>
            </w:tcBorders>
            <w:shd w:val="clear" w:color="000000" w:fill="FFFFFF"/>
            <w:noWrap/>
            <w:vAlign w:val="bottom"/>
            <w:hideMark/>
          </w:tcPr>
          <w:p w14:paraId="7870983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128CC0F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260</w:t>
            </w:r>
          </w:p>
        </w:tc>
      </w:tr>
      <w:tr w:rsidR="00AE739C" w:rsidRPr="00935EAC" w14:paraId="455D2491" w14:textId="77777777" w:rsidTr="0073265E">
        <w:trPr>
          <w:trHeight w:val="170"/>
        </w:trPr>
        <w:tc>
          <w:tcPr>
            <w:tcW w:w="960" w:type="dxa"/>
            <w:tcBorders>
              <w:top w:val="nil"/>
              <w:left w:val="nil"/>
              <w:bottom w:val="nil"/>
              <w:right w:val="nil"/>
            </w:tcBorders>
            <w:shd w:val="clear" w:color="000000" w:fill="FFFFFF"/>
            <w:noWrap/>
            <w:vAlign w:val="bottom"/>
            <w:hideMark/>
          </w:tcPr>
          <w:p w14:paraId="17F2B98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w:t>
            </w:r>
          </w:p>
        </w:tc>
        <w:tc>
          <w:tcPr>
            <w:tcW w:w="2254" w:type="dxa"/>
            <w:tcBorders>
              <w:top w:val="nil"/>
              <w:left w:val="nil"/>
              <w:bottom w:val="nil"/>
              <w:right w:val="nil"/>
            </w:tcBorders>
            <w:shd w:val="clear" w:color="000000" w:fill="FFFFFF"/>
            <w:noWrap/>
            <w:vAlign w:val="bottom"/>
            <w:hideMark/>
          </w:tcPr>
          <w:p w14:paraId="55C456C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Austria</w:t>
            </w:r>
          </w:p>
        </w:tc>
        <w:tc>
          <w:tcPr>
            <w:tcW w:w="1090" w:type="dxa"/>
            <w:tcBorders>
              <w:top w:val="nil"/>
              <w:left w:val="nil"/>
              <w:bottom w:val="nil"/>
              <w:right w:val="nil"/>
            </w:tcBorders>
            <w:shd w:val="clear" w:color="000000" w:fill="FFFFFF"/>
            <w:noWrap/>
            <w:vAlign w:val="bottom"/>
            <w:hideMark/>
          </w:tcPr>
          <w:p w14:paraId="68419E8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0.143</w:t>
            </w:r>
          </w:p>
        </w:tc>
        <w:tc>
          <w:tcPr>
            <w:tcW w:w="1030" w:type="dxa"/>
            <w:tcBorders>
              <w:top w:val="nil"/>
              <w:left w:val="nil"/>
              <w:bottom w:val="nil"/>
              <w:right w:val="nil"/>
            </w:tcBorders>
            <w:shd w:val="clear" w:color="000000" w:fill="FFFFFF"/>
            <w:noWrap/>
            <w:vAlign w:val="bottom"/>
            <w:hideMark/>
          </w:tcPr>
          <w:p w14:paraId="386B8E8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2.381</w:t>
            </w:r>
          </w:p>
        </w:tc>
        <w:tc>
          <w:tcPr>
            <w:tcW w:w="1090" w:type="dxa"/>
            <w:tcBorders>
              <w:top w:val="nil"/>
              <w:left w:val="nil"/>
              <w:bottom w:val="nil"/>
              <w:right w:val="nil"/>
            </w:tcBorders>
            <w:shd w:val="clear" w:color="000000" w:fill="FFFFFF"/>
            <w:noWrap/>
            <w:vAlign w:val="bottom"/>
            <w:hideMark/>
          </w:tcPr>
          <w:p w14:paraId="11471FE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-6.288</w:t>
            </w:r>
          </w:p>
        </w:tc>
        <w:tc>
          <w:tcPr>
            <w:tcW w:w="1090" w:type="dxa"/>
            <w:tcBorders>
              <w:top w:val="nil"/>
              <w:left w:val="nil"/>
              <w:bottom w:val="nil"/>
              <w:right w:val="nil"/>
            </w:tcBorders>
            <w:shd w:val="clear" w:color="000000" w:fill="FFFFFF"/>
            <w:noWrap/>
            <w:vAlign w:val="bottom"/>
            <w:hideMark/>
          </w:tcPr>
          <w:p w14:paraId="709F41A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6.914</w:t>
            </w:r>
          </w:p>
        </w:tc>
        <w:tc>
          <w:tcPr>
            <w:tcW w:w="956" w:type="dxa"/>
            <w:tcBorders>
              <w:top w:val="nil"/>
              <w:left w:val="nil"/>
              <w:bottom w:val="nil"/>
              <w:right w:val="nil"/>
            </w:tcBorders>
            <w:shd w:val="clear" w:color="000000" w:fill="FFFFFF"/>
            <w:noWrap/>
            <w:vAlign w:val="bottom"/>
            <w:hideMark/>
          </w:tcPr>
          <w:p w14:paraId="28A7472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1970-Q1</w:t>
            </w:r>
          </w:p>
        </w:tc>
        <w:tc>
          <w:tcPr>
            <w:tcW w:w="956" w:type="dxa"/>
            <w:tcBorders>
              <w:top w:val="nil"/>
              <w:left w:val="nil"/>
              <w:bottom w:val="nil"/>
              <w:right w:val="nil"/>
            </w:tcBorders>
            <w:shd w:val="clear" w:color="000000" w:fill="FFFFFF"/>
            <w:noWrap/>
            <w:vAlign w:val="bottom"/>
            <w:hideMark/>
          </w:tcPr>
          <w:p w14:paraId="3460FA0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0764E97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220</w:t>
            </w:r>
          </w:p>
        </w:tc>
      </w:tr>
      <w:tr w:rsidR="00AE739C" w:rsidRPr="00935EAC" w14:paraId="76CA421B" w14:textId="77777777" w:rsidTr="0073265E">
        <w:trPr>
          <w:trHeight w:val="170"/>
        </w:trPr>
        <w:tc>
          <w:tcPr>
            <w:tcW w:w="960" w:type="dxa"/>
            <w:tcBorders>
              <w:top w:val="nil"/>
              <w:left w:val="nil"/>
              <w:bottom w:val="nil"/>
              <w:right w:val="nil"/>
            </w:tcBorders>
            <w:shd w:val="clear" w:color="000000" w:fill="FFFFFF"/>
            <w:noWrap/>
            <w:vAlign w:val="bottom"/>
            <w:hideMark/>
          </w:tcPr>
          <w:p w14:paraId="21509A3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w:t>
            </w:r>
          </w:p>
        </w:tc>
        <w:tc>
          <w:tcPr>
            <w:tcW w:w="2254" w:type="dxa"/>
            <w:tcBorders>
              <w:top w:val="nil"/>
              <w:left w:val="nil"/>
              <w:bottom w:val="nil"/>
              <w:right w:val="nil"/>
            </w:tcBorders>
            <w:shd w:val="clear" w:color="000000" w:fill="FFFFFF"/>
            <w:noWrap/>
            <w:vAlign w:val="bottom"/>
            <w:hideMark/>
          </w:tcPr>
          <w:p w14:paraId="2C389A5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Belarus</w:t>
            </w:r>
          </w:p>
        </w:tc>
        <w:tc>
          <w:tcPr>
            <w:tcW w:w="1090" w:type="dxa"/>
            <w:tcBorders>
              <w:top w:val="nil"/>
              <w:left w:val="nil"/>
              <w:bottom w:val="nil"/>
              <w:right w:val="nil"/>
            </w:tcBorders>
            <w:shd w:val="clear" w:color="000000" w:fill="FFFFFF"/>
            <w:noWrap/>
            <w:vAlign w:val="bottom"/>
            <w:hideMark/>
          </w:tcPr>
          <w:p w14:paraId="12854F6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-5.118</w:t>
            </w:r>
          </w:p>
        </w:tc>
        <w:tc>
          <w:tcPr>
            <w:tcW w:w="1030" w:type="dxa"/>
            <w:tcBorders>
              <w:top w:val="nil"/>
              <w:left w:val="nil"/>
              <w:bottom w:val="nil"/>
              <w:right w:val="nil"/>
            </w:tcBorders>
            <w:shd w:val="clear" w:color="000000" w:fill="FFFFFF"/>
            <w:noWrap/>
            <w:vAlign w:val="bottom"/>
            <w:hideMark/>
          </w:tcPr>
          <w:p w14:paraId="1F43CF7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5.266</w:t>
            </w:r>
          </w:p>
        </w:tc>
        <w:tc>
          <w:tcPr>
            <w:tcW w:w="1090" w:type="dxa"/>
            <w:tcBorders>
              <w:top w:val="nil"/>
              <w:left w:val="nil"/>
              <w:bottom w:val="nil"/>
              <w:right w:val="nil"/>
            </w:tcBorders>
            <w:shd w:val="clear" w:color="000000" w:fill="FFFFFF"/>
            <w:noWrap/>
            <w:vAlign w:val="bottom"/>
            <w:hideMark/>
          </w:tcPr>
          <w:p w14:paraId="077A4EF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-24.871</w:t>
            </w:r>
          </w:p>
        </w:tc>
        <w:tc>
          <w:tcPr>
            <w:tcW w:w="1090" w:type="dxa"/>
            <w:tcBorders>
              <w:top w:val="nil"/>
              <w:left w:val="nil"/>
              <w:bottom w:val="nil"/>
              <w:right w:val="nil"/>
            </w:tcBorders>
            <w:shd w:val="clear" w:color="000000" w:fill="FFFFFF"/>
            <w:noWrap/>
            <w:vAlign w:val="bottom"/>
            <w:hideMark/>
          </w:tcPr>
          <w:p w14:paraId="7A34FC1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9.211</w:t>
            </w:r>
          </w:p>
        </w:tc>
        <w:tc>
          <w:tcPr>
            <w:tcW w:w="956" w:type="dxa"/>
            <w:tcBorders>
              <w:top w:val="nil"/>
              <w:left w:val="nil"/>
              <w:bottom w:val="nil"/>
              <w:right w:val="nil"/>
            </w:tcBorders>
            <w:shd w:val="clear" w:color="000000" w:fill="FFFFFF"/>
            <w:noWrap/>
            <w:vAlign w:val="bottom"/>
            <w:hideMark/>
          </w:tcPr>
          <w:p w14:paraId="5DB75FA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1996-Q1</w:t>
            </w:r>
          </w:p>
        </w:tc>
        <w:tc>
          <w:tcPr>
            <w:tcW w:w="956" w:type="dxa"/>
            <w:tcBorders>
              <w:top w:val="nil"/>
              <w:left w:val="nil"/>
              <w:bottom w:val="nil"/>
              <w:right w:val="nil"/>
            </w:tcBorders>
            <w:shd w:val="clear" w:color="000000" w:fill="FFFFFF"/>
            <w:noWrap/>
            <w:vAlign w:val="bottom"/>
            <w:hideMark/>
          </w:tcPr>
          <w:p w14:paraId="5EDCB81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2020-Q1</w:t>
            </w:r>
          </w:p>
        </w:tc>
        <w:tc>
          <w:tcPr>
            <w:tcW w:w="574" w:type="dxa"/>
            <w:tcBorders>
              <w:top w:val="nil"/>
              <w:left w:val="nil"/>
              <w:bottom w:val="nil"/>
              <w:right w:val="nil"/>
            </w:tcBorders>
            <w:shd w:val="clear" w:color="000000" w:fill="FFFFFF"/>
            <w:noWrap/>
            <w:vAlign w:val="bottom"/>
            <w:hideMark/>
          </w:tcPr>
          <w:p w14:paraId="548E6BC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97</w:t>
            </w:r>
          </w:p>
        </w:tc>
      </w:tr>
      <w:tr w:rsidR="00AE739C" w:rsidRPr="00935EAC" w14:paraId="1AEA7E90" w14:textId="77777777" w:rsidTr="0073265E">
        <w:trPr>
          <w:trHeight w:val="170"/>
        </w:trPr>
        <w:tc>
          <w:tcPr>
            <w:tcW w:w="960" w:type="dxa"/>
            <w:tcBorders>
              <w:top w:val="nil"/>
              <w:left w:val="nil"/>
              <w:bottom w:val="nil"/>
              <w:right w:val="nil"/>
            </w:tcBorders>
            <w:shd w:val="clear" w:color="000000" w:fill="FFFFFF"/>
            <w:noWrap/>
            <w:vAlign w:val="bottom"/>
            <w:hideMark/>
          </w:tcPr>
          <w:p w14:paraId="4856ED3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w:t>
            </w:r>
          </w:p>
        </w:tc>
        <w:tc>
          <w:tcPr>
            <w:tcW w:w="2254" w:type="dxa"/>
            <w:tcBorders>
              <w:top w:val="nil"/>
              <w:left w:val="nil"/>
              <w:bottom w:val="nil"/>
              <w:right w:val="nil"/>
            </w:tcBorders>
            <w:shd w:val="clear" w:color="000000" w:fill="FFFFFF"/>
            <w:noWrap/>
            <w:vAlign w:val="bottom"/>
            <w:hideMark/>
          </w:tcPr>
          <w:p w14:paraId="49D6FD9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Belgium</w:t>
            </w:r>
          </w:p>
        </w:tc>
        <w:tc>
          <w:tcPr>
            <w:tcW w:w="1090" w:type="dxa"/>
            <w:tcBorders>
              <w:top w:val="nil"/>
              <w:left w:val="nil"/>
              <w:bottom w:val="nil"/>
              <w:right w:val="nil"/>
            </w:tcBorders>
            <w:shd w:val="clear" w:color="000000" w:fill="FFFFFF"/>
            <w:noWrap/>
            <w:vAlign w:val="bottom"/>
            <w:hideMark/>
          </w:tcPr>
          <w:p w14:paraId="57CA926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1.834</w:t>
            </w:r>
          </w:p>
        </w:tc>
        <w:tc>
          <w:tcPr>
            <w:tcW w:w="1030" w:type="dxa"/>
            <w:tcBorders>
              <w:top w:val="nil"/>
              <w:left w:val="nil"/>
              <w:bottom w:val="nil"/>
              <w:right w:val="nil"/>
            </w:tcBorders>
            <w:shd w:val="clear" w:color="000000" w:fill="FFFFFF"/>
            <w:noWrap/>
            <w:vAlign w:val="bottom"/>
            <w:hideMark/>
          </w:tcPr>
          <w:p w14:paraId="115FFE8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3.076</w:t>
            </w:r>
          </w:p>
        </w:tc>
        <w:tc>
          <w:tcPr>
            <w:tcW w:w="1090" w:type="dxa"/>
            <w:tcBorders>
              <w:top w:val="nil"/>
              <w:left w:val="nil"/>
              <w:bottom w:val="nil"/>
              <w:right w:val="nil"/>
            </w:tcBorders>
            <w:shd w:val="clear" w:color="000000" w:fill="FFFFFF"/>
            <w:noWrap/>
            <w:vAlign w:val="bottom"/>
            <w:hideMark/>
          </w:tcPr>
          <w:p w14:paraId="2AB4F50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-7.935</w:t>
            </w:r>
          </w:p>
        </w:tc>
        <w:tc>
          <w:tcPr>
            <w:tcW w:w="1090" w:type="dxa"/>
            <w:tcBorders>
              <w:top w:val="nil"/>
              <w:left w:val="nil"/>
              <w:bottom w:val="nil"/>
              <w:right w:val="nil"/>
            </w:tcBorders>
            <w:shd w:val="clear" w:color="000000" w:fill="FFFFFF"/>
            <w:noWrap/>
            <w:vAlign w:val="bottom"/>
            <w:hideMark/>
          </w:tcPr>
          <w:p w14:paraId="7B2837B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7.507</w:t>
            </w:r>
          </w:p>
        </w:tc>
        <w:tc>
          <w:tcPr>
            <w:tcW w:w="956" w:type="dxa"/>
            <w:tcBorders>
              <w:top w:val="nil"/>
              <w:left w:val="nil"/>
              <w:bottom w:val="nil"/>
              <w:right w:val="nil"/>
            </w:tcBorders>
            <w:shd w:val="clear" w:color="000000" w:fill="FFFFFF"/>
            <w:noWrap/>
            <w:vAlign w:val="bottom"/>
            <w:hideMark/>
          </w:tcPr>
          <w:p w14:paraId="50EF9B6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1995-Q1</w:t>
            </w:r>
          </w:p>
        </w:tc>
        <w:tc>
          <w:tcPr>
            <w:tcW w:w="956" w:type="dxa"/>
            <w:tcBorders>
              <w:top w:val="nil"/>
              <w:left w:val="nil"/>
              <w:bottom w:val="nil"/>
              <w:right w:val="nil"/>
            </w:tcBorders>
            <w:shd w:val="clear" w:color="000000" w:fill="FFFFFF"/>
            <w:noWrap/>
            <w:vAlign w:val="bottom"/>
            <w:hideMark/>
          </w:tcPr>
          <w:p w14:paraId="132A034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4DCBB4F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120</w:t>
            </w:r>
          </w:p>
        </w:tc>
      </w:tr>
      <w:tr w:rsidR="00AE739C" w:rsidRPr="00935EAC" w14:paraId="34EAC8B8" w14:textId="77777777" w:rsidTr="0073265E">
        <w:trPr>
          <w:trHeight w:val="170"/>
        </w:trPr>
        <w:tc>
          <w:tcPr>
            <w:tcW w:w="960" w:type="dxa"/>
            <w:tcBorders>
              <w:top w:val="nil"/>
              <w:left w:val="nil"/>
              <w:bottom w:val="nil"/>
              <w:right w:val="nil"/>
            </w:tcBorders>
            <w:shd w:val="clear" w:color="000000" w:fill="FFFFFF"/>
            <w:noWrap/>
            <w:vAlign w:val="bottom"/>
            <w:hideMark/>
          </w:tcPr>
          <w:p w14:paraId="3106267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w:t>
            </w:r>
          </w:p>
        </w:tc>
        <w:tc>
          <w:tcPr>
            <w:tcW w:w="2254" w:type="dxa"/>
            <w:tcBorders>
              <w:top w:val="nil"/>
              <w:left w:val="nil"/>
              <w:bottom w:val="nil"/>
              <w:right w:val="nil"/>
            </w:tcBorders>
            <w:shd w:val="clear" w:color="000000" w:fill="FFFFFF"/>
            <w:noWrap/>
            <w:vAlign w:val="bottom"/>
            <w:hideMark/>
          </w:tcPr>
          <w:p w14:paraId="53FD858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Bolivia</w:t>
            </w:r>
          </w:p>
        </w:tc>
        <w:tc>
          <w:tcPr>
            <w:tcW w:w="1090" w:type="dxa"/>
            <w:tcBorders>
              <w:top w:val="nil"/>
              <w:left w:val="nil"/>
              <w:bottom w:val="nil"/>
              <w:right w:val="nil"/>
            </w:tcBorders>
            <w:shd w:val="clear" w:color="000000" w:fill="FFFFFF"/>
            <w:noWrap/>
            <w:vAlign w:val="bottom"/>
            <w:hideMark/>
          </w:tcPr>
          <w:p w14:paraId="3FF7988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-2.131</w:t>
            </w:r>
          </w:p>
        </w:tc>
        <w:tc>
          <w:tcPr>
            <w:tcW w:w="1030" w:type="dxa"/>
            <w:tcBorders>
              <w:top w:val="nil"/>
              <w:left w:val="nil"/>
              <w:bottom w:val="nil"/>
              <w:right w:val="nil"/>
            </w:tcBorders>
            <w:shd w:val="clear" w:color="000000" w:fill="FFFFFF"/>
            <w:noWrap/>
            <w:vAlign w:val="bottom"/>
            <w:hideMark/>
          </w:tcPr>
          <w:p w14:paraId="18A2634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7.201</w:t>
            </w:r>
          </w:p>
        </w:tc>
        <w:tc>
          <w:tcPr>
            <w:tcW w:w="1090" w:type="dxa"/>
            <w:tcBorders>
              <w:top w:val="nil"/>
              <w:left w:val="nil"/>
              <w:bottom w:val="nil"/>
              <w:right w:val="nil"/>
            </w:tcBorders>
            <w:shd w:val="clear" w:color="000000" w:fill="FFFFFF"/>
            <w:noWrap/>
            <w:vAlign w:val="bottom"/>
            <w:hideMark/>
          </w:tcPr>
          <w:p w14:paraId="28C69F0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-17.940</w:t>
            </w:r>
          </w:p>
        </w:tc>
        <w:tc>
          <w:tcPr>
            <w:tcW w:w="1090" w:type="dxa"/>
            <w:tcBorders>
              <w:top w:val="nil"/>
              <w:left w:val="nil"/>
              <w:bottom w:val="nil"/>
              <w:right w:val="nil"/>
            </w:tcBorders>
            <w:shd w:val="clear" w:color="000000" w:fill="FFFFFF"/>
            <w:noWrap/>
            <w:vAlign w:val="bottom"/>
            <w:hideMark/>
          </w:tcPr>
          <w:p w14:paraId="66CF0D3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17.557</w:t>
            </w:r>
          </w:p>
        </w:tc>
        <w:tc>
          <w:tcPr>
            <w:tcW w:w="956" w:type="dxa"/>
            <w:tcBorders>
              <w:top w:val="nil"/>
              <w:left w:val="nil"/>
              <w:bottom w:val="nil"/>
              <w:right w:val="nil"/>
            </w:tcBorders>
            <w:shd w:val="clear" w:color="000000" w:fill="FFFFFF"/>
            <w:noWrap/>
            <w:vAlign w:val="bottom"/>
            <w:hideMark/>
          </w:tcPr>
          <w:p w14:paraId="303B73C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1985-Q1</w:t>
            </w:r>
          </w:p>
        </w:tc>
        <w:tc>
          <w:tcPr>
            <w:tcW w:w="956" w:type="dxa"/>
            <w:tcBorders>
              <w:top w:val="nil"/>
              <w:left w:val="nil"/>
              <w:bottom w:val="nil"/>
              <w:right w:val="nil"/>
            </w:tcBorders>
            <w:shd w:val="clear" w:color="000000" w:fill="FFFFFF"/>
            <w:noWrap/>
            <w:vAlign w:val="bottom"/>
            <w:hideMark/>
          </w:tcPr>
          <w:p w14:paraId="73D5E0A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2019-Q4</w:t>
            </w:r>
          </w:p>
        </w:tc>
        <w:tc>
          <w:tcPr>
            <w:tcW w:w="574" w:type="dxa"/>
            <w:tcBorders>
              <w:top w:val="nil"/>
              <w:left w:val="nil"/>
              <w:bottom w:val="nil"/>
              <w:right w:val="nil"/>
            </w:tcBorders>
            <w:shd w:val="clear" w:color="000000" w:fill="FFFFFF"/>
            <w:noWrap/>
            <w:vAlign w:val="bottom"/>
            <w:hideMark/>
          </w:tcPr>
          <w:p w14:paraId="6F1933F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140</w:t>
            </w:r>
          </w:p>
        </w:tc>
      </w:tr>
      <w:tr w:rsidR="00AE739C" w:rsidRPr="00935EAC" w14:paraId="2DDDCAB8" w14:textId="77777777" w:rsidTr="0073265E">
        <w:trPr>
          <w:trHeight w:val="170"/>
        </w:trPr>
        <w:tc>
          <w:tcPr>
            <w:tcW w:w="960" w:type="dxa"/>
            <w:tcBorders>
              <w:top w:val="nil"/>
              <w:left w:val="nil"/>
              <w:bottom w:val="nil"/>
              <w:right w:val="nil"/>
            </w:tcBorders>
            <w:shd w:val="clear" w:color="000000" w:fill="FFFFFF"/>
            <w:noWrap/>
            <w:vAlign w:val="bottom"/>
            <w:hideMark/>
          </w:tcPr>
          <w:p w14:paraId="2E2313C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9</w:t>
            </w:r>
          </w:p>
        </w:tc>
        <w:tc>
          <w:tcPr>
            <w:tcW w:w="2254" w:type="dxa"/>
            <w:tcBorders>
              <w:top w:val="nil"/>
              <w:left w:val="nil"/>
              <w:bottom w:val="nil"/>
              <w:right w:val="nil"/>
            </w:tcBorders>
            <w:shd w:val="clear" w:color="000000" w:fill="FFFFFF"/>
            <w:noWrap/>
            <w:vAlign w:val="bottom"/>
            <w:hideMark/>
          </w:tcPr>
          <w:p w14:paraId="12BAD0C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Bosnia And Herzegovina</w:t>
            </w:r>
          </w:p>
        </w:tc>
        <w:tc>
          <w:tcPr>
            <w:tcW w:w="1090" w:type="dxa"/>
            <w:tcBorders>
              <w:top w:val="nil"/>
              <w:left w:val="nil"/>
              <w:bottom w:val="nil"/>
              <w:right w:val="nil"/>
            </w:tcBorders>
            <w:shd w:val="clear" w:color="000000" w:fill="FFFFFF"/>
            <w:noWrap/>
            <w:vAlign w:val="bottom"/>
            <w:hideMark/>
          </w:tcPr>
          <w:p w14:paraId="23E9069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-4.905</w:t>
            </w:r>
          </w:p>
        </w:tc>
        <w:tc>
          <w:tcPr>
            <w:tcW w:w="1030" w:type="dxa"/>
            <w:tcBorders>
              <w:top w:val="nil"/>
              <w:left w:val="nil"/>
              <w:bottom w:val="nil"/>
              <w:right w:val="nil"/>
            </w:tcBorders>
            <w:shd w:val="clear" w:color="000000" w:fill="FFFFFF"/>
            <w:noWrap/>
            <w:vAlign w:val="bottom"/>
            <w:hideMark/>
          </w:tcPr>
          <w:p w14:paraId="3DAE989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2.502</w:t>
            </w:r>
          </w:p>
        </w:tc>
        <w:tc>
          <w:tcPr>
            <w:tcW w:w="1090" w:type="dxa"/>
            <w:tcBorders>
              <w:top w:val="nil"/>
              <w:left w:val="nil"/>
              <w:bottom w:val="nil"/>
              <w:right w:val="nil"/>
            </w:tcBorders>
            <w:shd w:val="clear" w:color="000000" w:fill="FFFFFF"/>
            <w:noWrap/>
            <w:vAlign w:val="bottom"/>
            <w:hideMark/>
          </w:tcPr>
          <w:p w14:paraId="6E20822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-11.912</w:t>
            </w:r>
          </w:p>
        </w:tc>
        <w:tc>
          <w:tcPr>
            <w:tcW w:w="1090" w:type="dxa"/>
            <w:tcBorders>
              <w:top w:val="nil"/>
              <w:left w:val="nil"/>
              <w:bottom w:val="nil"/>
              <w:right w:val="nil"/>
            </w:tcBorders>
            <w:shd w:val="clear" w:color="000000" w:fill="FFFFFF"/>
            <w:noWrap/>
            <w:vAlign w:val="bottom"/>
            <w:hideMark/>
          </w:tcPr>
          <w:p w14:paraId="702D7C2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-0.426</w:t>
            </w:r>
          </w:p>
        </w:tc>
        <w:tc>
          <w:tcPr>
            <w:tcW w:w="956" w:type="dxa"/>
            <w:tcBorders>
              <w:top w:val="nil"/>
              <w:left w:val="nil"/>
              <w:bottom w:val="nil"/>
              <w:right w:val="nil"/>
            </w:tcBorders>
            <w:shd w:val="clear" w:color="000000" w:fill="FFFFFF"/>
            <w:noWrap/>
            <w:vAlign w:val="bottom"/>
            <w:hideMark/>
          </w:tcPr>
          <w:p w14:paraId="1C003BA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2010-Q1</w:t>
            </w:r>
          </w:p>
        </w:tc>
        <w:tc>
          <w:tcPr>
            <w:tcW w:w="956" w:type="dxa"/>
            <w:tcBorders>
              <w:top w:val="nil"/>
              <w:left w:val="nil"/>
              <w:bottom w:val="nil"/>
              <w:right w:val="nil"/>
            </w:tcBorders>
            <w:shd w:val="clear" w:color="000000" w:fill="FFFFFF"/>
            <w:noWrap/>
            <w:vAlign w:val="bottom"/>
            <w:hideMark/>
          </w:tcPr>
          <w:p w14:paraId="4FFC858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2024-Q2</w:t>
            </w:r>
          </w:p>
        </w:tc>
        <w:tc>
          <w:tcPr>
            <w:tcW w:w="574" w:type="dxa"/>
            <w:tcBorders>
              <w:top w:val="nil"/>
              <w:left w:val="nil"/>
              <w:bottom w:val="nil"/>
              <w:right w:val="nil"/>
            </w:tcBorders>
            <w:shd w:val="clear" w:color="000000" w:fill="FFFFFF"/>
            <w:noWrap/>
            <w:vAlign w:val="bottom"/>
            <w:hideMark/>
          </w:tcPr>
          <w:p w14:paraId="259A5C9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58</w:t>
            </w:r>
          </w:p>
        </w:tc>
      </w:tr>
      <w:tr w:rsidR="00AE739C" w:rsidRPr="00935EAC" w14:paraId="0EF0D1F6" w14:textId="77777777" w:rsidTr="0073265E">
        <w:trPr>
          <w:trHeight w:val="170"/>
        </w:trPr>
        <w:tc>
          <w:tcPr>
            <w:tcW w:w="960" w:type="dxa"/>
            <w:tcBorders>
              <w:top w:val="nil"/>
              <w:left w:val="nil"/>
              <w:bottom w:val="nil"/>
              <w:right w:val="nil"/>
            </w:tcBorders>
            <w:shd w:val="clear" w:color="000000" w:fill="FFFFFF"/>
            <w:noWrap/>
            <w:vAlign w:val="bottom"/>
            <w:hideMark/>
          </w:tcPr>
          <w:p w14:paraId="30B6B67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10</w:t>
            </w:r>
          </w:p>
        </w:tc>
        <w:tc>
          <w:tcPr>
            <w:tcW w:w="2254" w:type="dxa"/>
            <w:tcBorders>
              <w:top w:val="nil"/>
              <w:left w:val="nil"/>
              <w:bottom w:val="nil"/>
              <w:right w:val="nil"/>
            </w:tcBorders>
            <w:shd w:val="clear" w:color="000000" w:fill="FFFFFF"/>
            <w:noWrap/>
            <w:vAlign w:val="bottom"/>
            <w:hideMark/>
          </w:tcPr>
          <w:p w14:paraId="6C836B0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Brazil</w:t>
            </w:r>
          </w:p>
        </w:tc>
        <w:tc>
          <w:tcPr>
            <w:tcW w:w="1090" w:type="dxa"/>
            <w:tcBorders>
              <w:top w:val="nil"/>
              <w:left w:val="nil"/>
              <w:bottom w:val="nil"/>
              <w:right w:val="nil"/>
            </w:tcBorders>
            <w:shd w:val="clear" w:color="000000" w:fill="FFFFFF"/>
            <w:noWrap/>
            <w:vAlign w:val="bottom"/>
            <w:hideMark/>
          </w:tcPr>
          <w:p w14:paraId="08AD6C9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-2.109</w:t>
            </w:r>
          </w:p>
        </w:tc>
        <w:tc>
          <w:tcPr>
            <w:tcW w:w="1030" w:type="dxa"/>
            <w:tcBorders>
              <w:top w:val="nil"/>
              <w:left w:val="nil"/>
              <w:bottom w:val="nil"/>
              <w:right w:val="nil"/>
            </w:tcBorders>
            <w:shd w:val="clear" w:color="000000" w:fill="FFFFFF"/>
            <w:noWrap/>
            <w:vAlign w:val="bottom"/>
            <w:hideMark/>
          </w:tcPr>
          <w:p w14:paraId="002BCBA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2.084</w:t>
            </w:r>
          </w:p>
        </w:tc>
        <w:tc>
          <w:tcPr>
            <w:tcW w:w="1090" w:type="dxa"/>
            <w:tcBorders>
              <w:top w:val="nil"/>
              <w:left w:val="nil"/>
              <w:bottom w:val="nil"/>
              <w:right w:val="nil"/>
            </w:tcBorders>
            <w:shd w:val="clear" w:color="000000" w:fill="FFFFFF"/>
            <w:noWrap/>
            <w:vAlign w:val="bottom"/>
            <w:hideMark/>
          </w:tcPr>
          <w:p w14:paraId="2B31782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-6.240</w:t>
            </w:r>
          </w:p>
        </w:tc>
        <w:tc>
          <w:tcPr>
            <w:tcW w:w="1090" w:type="dxa"/>
            <w:tcBorders>
              <w:top w:val="nil"/>
              <w:left w:val="nil"/>
              <w:bottom w:val="nil"/>
              <w:right w:val="nil"/>
            </w:tcBorders>
            <w:shd w:val="clear" w:color="000000" w:fill="FFFFFF"/>
            <w:noWrap/>
            <w:vAlign w:val="bottom"/>
            <w:hideMark/>
          </w:tcPr>
          <w:p w14:paraId="23DA3A0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1.892</w:t>
            </w:r>
          </w:p>
        </w:tc>
        <w:tc>
          <w:tcPr>
            <w:tcW w:w="956" w:type="dxa"/>
            <w:tcBorders>
              <w:top w:val="nil"/>
              <w:left w:val="nil"/>
              <w:bottom w:val="nil"/>
              <w:right w:val="nil"/>
            </w:tcBorders>
            <w:shd w:val="clear" w:color="000000" w:fill="FFFFFF"/>
            <w:noWrap/>
            <w:vAlign w:val="bottom"/>
            <w:hideMark/>
          </w:tcPr>
          <w:p w14:paraId="05F0A43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1978-Q1</w:t>
            </w:r>
          </w:p>
        </w:tc>
        <w:tc>
          <w:tcPr>
            <w:tcW w:w="956" w:type="dxa"/>
            <w:tcBorders>
              <w:top w:val="nil"/>
              <w:left w:val="nil"/>
              <w:bottom w:val="nil"/>
              <w:right w:val="nil"/>
            </w:tcBorders>
            <w:shd w:val="clear" w:color="000000" w:fill="FFFFFF"/>
            <w:noWrap/>
            <w:vAlign w:val="bottom"/>
            <w:hideMark/>
          </w:tcPr>
          <w:p w14:paraId="7BD98A8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63A3689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188</w:t>
            </w:r>
          </w:p>
        </w:tc>
      </w:tr>
      <w:tr w:rsidR="00AE739C" w:rsidRPr="00935EAC" w14:paraId="2BAE5F97" w14:textId="77777777" w:rsidTr="0073265E">
        <w:trPr>
          <w:trHeight w:val="170"/>
        </w:trPr>
        <w:tc>
          <w:tcPr>
            <w:tcW w:w="960" w:type="dxa"/>
            <w:tcBorders>
              <w:top w:val="nil"/>
              <w:left w:val="nil"/>
              <w:bottom w:val="nil"/>
              <w:right w:val="nil"/>
            </w:tcBorders>
            <w:shd w:val="clear" w:color="000000" w:fill="FFFFFF"/>
            <w:noWrap/>
            <w:vAlign w:val="bottom"/>
            <w:hideMark/>
          </w:tcPr>
          <w:p w14:paraId="47B3811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w:t>
            </w:r>
          </w:p>
        </w:tc>
        <w:tc>
          <w:tcPr>
            <w:tcW w:w="2254" w:type="dxa"/>
            <w:tcBorders>
              <w:top w:val="nil"/>
              <w:left w:val="nil"/>
              <w:bottom w:val="nil"/>
              <w:right w:val="nil"/>
            </w:tcBorders>
            <w:shd w:val="clear" w:color="000000" w:fill="FFFFFF"/>
            <w:noWrap/>
            <w:vAlign w:val="bottom"/>
            <w:hideMark/>
          </w:tcPr>
          <w:p w14:paraId="4C6B339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Bulgaria</w:t>
            </w:r>
          </w:p>
        </w:tc>
        <w:tc>
          <w:tcPr>
            <w:tcW w:w="1090" w:type="dxa"/>
            <w:tcBorders>
              <w:top w:val="nil"/>
              <w:left w:val="nil"/>
              <w:bottom w:val="nil"/>
              <w:right w:val="nil"/>
            </w:tcBorders>
            <w:shd w:val="clear" w:color="000000" w:fill="FFFFFF"/>
            <w:noWrap/>
            <w:vAlign w:val="bottom"/>
            <w:hideMark/>
          </w:tcPr>
          <w:p w14:paraId="47A69CC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-3.413</w:t>
            </w:r>
          </w:p>
        </w:tc>
        <w:tc>
          <w:tcPr>
            <w:tcW w:w="1030" w:type="dxa"/>
            <w:tcBorders>
              <w:top w:val="nil"/>
              <w:left w:val="nil"/>
              <w:bottom w:val="nil"/>
              <w:right w:val="nil"/>
            </w:tcBorders>
            <w:shd w:val="clear" w:color="000000" w:fill="FFFFFF"/>
            <w:noWrap/>
            <w:vAlign w:val="bottom"/>
            <w:hideMark/>
          </w:tcPr>
          <w:p w14:paraId="5DD8E98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7.614</w:t>
            </w:r>
          </w:p>
        </w:tc>
        <w:tc>
          <w:tcPr>
            <w:tcW w:w="1090" w:type="dxa"/>
            <w:tcBorders>
              <w:top w:val="nil"/>
              <w:left w:val="nil"/>
              <w:bottom w:val="nil"/>
              <w:right w:val="nil"/>
            </w:tcBorders>
            <w:shd w:val="clear" w:color="000000" w:fill="FFFFFF"/>
            <w:noWrap/>
            <w:vAlign w:val="bottom"/>
            <w:hideMark/>
          </w:tcPr>
          <w:p w14:paraId="658420E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-25.496</w:t>
            </w:r>
          </w:p>
        </w:tc>
        <w:tc>
          <w:tcPr>
            <w:tcW w:w="1090" w:type="dxa"/>
            <w:tcBorders>
              <w:top w:val="nil"/>
              <w:left w:val="nil"/>
              <w:bottom w:val="nil"/>
              <w:right w:val="nil"/>
            </w:tcBorders>
            <w:shd w:val="clear" w:color="000000" w:fill="FFFFFF"/>
            <w:noWrap/>
            <w:vAlign w:val="bottom"/>
            <w:hideMark/>
          </w:tcPr>
          <w:p w14:paraId="18EF52F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20.421</w:t>
            </w:r>
          </w:p>
        </w:tc>
        <w:tc>
          <w:tcPr>
            <w:tcW w:w="956" w:type="dxa"/>
            <w:tcBorders>
              <w:top w:val="nil"/>
              <w:left w:val="nil"/>
              <w:bottom w:val="nil"/>
              <w:right w:val="nil"/>
            </w:tcBorders>
            <w:shd w:val="clear" w:color="000000" w:fill="FFFFFF"/>
            <w:noWrap/>
            <w:vAlign w:val="bottom"/>
            <w:hideMark/>
          </w:tcPr>
          <w:p w14:paraId="304E18F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1994-Q1</w:t>
            </w:r>
          </w:p>
        </w:tc>
        <w:tc>
          <w:tcPr>
            <w:tcW w:w="956" w:type="dxa"/>
            <w:tcBorders>
              <w:top w:val="nil"/>
              <w:left w:val="nil"/>
              <w:bottom w:val="nil"/>
              <w:right w:val="nil"/>
            </w:tcBorders>
            <w:shd w:val="clear" w:color="000000" w:fill="FFFFFF"/>
            <w:noWrap/>
            <w:vAlign w:val="bottom"/>
            <w:hideMark/>
          </w:tcPr>
          <w:p w14:paraId="3F2133D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77CDC29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124</w:t>
            </w:r>
          </w:p>
        </w:tc>
      </w:tr>
      <w:tr w:rsidR="00AE739C" w:rsidRPr="00935EAC" w14:paraId="4C108819" w14:textId="77777777" w:rsidTr="0073265E">
        <w:trPr>
          <w:trHeight w:val="170"/>
        </w:trPr>
        <w:tc>
          <w:tcPr>
            <w:tcW w:w="960" w:type="dxa"/>
            <w:tcBorders>
              <w:top w:val="nil"/>
              <w:left w:val="nil"/>
              <w:bottom w:val="nil"/>
              <w:right w:val="nil"/>
            </w:tcBorders>
            <w:shd w:val="clear" w:color="000000" w:fill="FFFFFF"/>
            <w:noWrap/>
            <w:vAlign w:val="bottom"/>
            <w:hideMark/>
          </w:tcPr>
          <w:p w14:paraId="5B95E3C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w:t>
            </w:r>
          </w:p>
        </w:tc>
        <w:tc>
          <w:tcPr>
            <w:tcW w:w="2254" w:type="dxa"/>
            <w:tcBorders>
              <w:top w:val="nil"/>
              <w:left w:val="nil"/>
              <w:bottom w:val="nil"/>
              <w:right w:val="nil"/>
            </w:tcBorders>
            <w:shd w:val="clear" w:color="000000" w:fill="FFFFFF"/>
            <w:noWrap/>
            <w:vAlign w:val="bottom"/>
            <w:hideMark/>
          </w:tcPr>
          <w:p w14:paraId="204FD41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Cambodia</w:t>
            </w:r>
          </w:p>
        </w:tc>
        <w:tc>
          <w:tcPr>
            <w:tcW w:w="1090" w:type="dxa"/>
            <w:tcBorders>
              <w:top w:val="nil"/>
              <w:left w:val="nil"/>
              <w:bottom w:val="nil"/>
              <w:right w:val="nil"/>
            </w:tcBorders>
            <w:shd w:val="clear" w:color="000000" w:fill="FFFFFF"/>
            <w:noWrap/>
            <w:vAlign w:val="bottom"/>
            <w:hideMark/>
          </w:tcPr>
          <w:p w14:paraId="3188097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-8.432</w:t>
            </w:r>
          </w:p>
        </w:tc>
        <w:tc>
          <w:tcPr>
            <w:tcW w:w="1030" w:type="dxa"/>
            <w:tcBorders>
              <w:top w:val="nil"/>
              <w:left w:val="nil"/>
              <w:bottom w:val="nil"/>
              <w:right w:val="nil"/>
            </w:tcBorders>
            <w:shd w:val="clear" w:color="000000" w:fill="FFFFFF"/>
            <w:noWrap/>
            <w:vAlign w:val="bottom"/>
            <w:hideMark/>
          </w:tcPr>
          <w:p w14:paraId="4ADFD9E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8.532</w:t>
            </w:r>
          </w:p>
        </w:tc>
        <w:tc>
          <w:tcPr>
            <w:tcW w:w="1090" w:type="dxa"/>
            <w:tcBorders>
              <w:top w:val="nil"/>
              <w:left w:val="nil"/>
              <w:bottom w:val="nil"/>
              <w:right w:val="nil"/>
            </w:tcBorders>
            <w:shd w:val="clear" w:color="000000" w:fill="FFFFFF"/>
            <w:noWrap/>
            <w:vAlign w:val="bottom"/>
            <w:hideMark/>
          </w:tcPr>
          <w:p w14:paraId="08B7F55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-58.275</w:t>
            </w:r>
          </w:p>
        </w:tc>
        <w:tc>
          <w:tcPr>
            <w:tcW w:w="1090" w:type="dxa"/>
            <w:tcBorders>
              <w:top w:val="nil"/>
              <w:left w:val="nil"/>
              <w:bottom w:val="nil"/>
              <w:right w:val="nil"/>
            </w:tcBorders>
            <w:shd w:val="clear" w:color="000000" w:fill="FFFFFF"/>
            <w:noWrap/>
            <w:vAlign w:val="bottom"/>
            <w:hideMark/>
          </w:tcPr>
          <w:p w14:paraId="144C1D2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5.417</w:t>
            </w:r>
          </w:p>
        </w:tc>
        <w:tc>
          <w:tcPr>
            <w:tcW w:w="956" w:type="dxa"/>
            <w:tcBorders>
              <w:top w:val="nil"/>
              <w:left w:val="nil"/>
              <w:bottom w:val="nil"/>
              <w:right w:val="nil"/>
            </w:tcBorders>
            <w:shd w:val="clear" w:color="000000" w:fill="FFFFFF"/>
            <w:noWrap/>
            <w:vAlign w:val="bottom"/>
            <w:hideMark/>
          </w:tcPr>
          <w:p w14:paraId="4707B93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1994-Q1</w:t>
            </w:r>
          </w:p>
        </w:tc>
        <w:tc>
          <w:tcPr>
            <w:tcW w:w="956" w:type="dxa"/>
            <w:tcBorders>
              <w:top w:val="nil"/>
              <w:left w:val="nil"/>
              <w:bottom w:val="nil"/>
              <w:right w:val="nil"/>
            </w:tcBorders>
            <w:shd w:val="clear" w:color="000000" w:fill="FFFFFF"/>
            <w:noWrap/>
            <w:vAlign w:val="bottom"/>
            <w:hideMark/>
          </w:tcPr>
          <w:p w14:paraId="0E58339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2021-Q4</w:t>
            </w:r>
          </w:p>
        </w:tc>
        <w:tc>
          <w:tcPr>
            <w:tcW w:w="574" w:type="dxa"/>
            <w:tcBorders>
              <w:top w:val="nil"/>
              <w:left w:val="nil"/>
              <w:bottom w:val="nil"/>
              <w:right w:val="nil"/>
            </w:tcBorders>
            <w:shd w:val="clear" w:color="000000" w:fill="FFFFFF"/>
            <w:noWrap/>
            <w:vAlign w:val="bottom"/>
            <w:hideMark/>
          </w:tcPr>
          <w:p w14:paraId="68C0EB5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112</w:t>
            </w:r>
          </w:p>
        </w:tc>
      </w:tr>
      <w:tr w:rsidR="00AE739C" w:rsidRPr="00935EAC" w14:paraId="1644EAB1" w14:textId="77777777" w:rsidTr="0073265E">
        <w:trPr>
          <w:trHeight w:val="170"/>
        </w:trPr>
        <w:tc>
          <w:tcPr>
            <w:tcW w:w="960" w:type="dxa"/>
            <w:tcBorders>
              <w:top w:val="nil"/>
              <w:left w:val="nil"/>
              <w:bottom w:val="nil"/>
              <w:right w:val="nil"/>
            </w:tcBorders>
            <w:shd w:val="clear" w:color="000000" w:fill="FFFFFF"/>
            <w:noWrap/>
            <w:vAlign w:val="bottom"/>
            <w:hideMark/>
          </w:tcPr>
          <w:p w14:paraId="314202B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13</w:t>
            </w:r>
          </w:p>
        </w:tc>
        <w:tc>
          <w:tcPr>
            <w:tcW w:w="2254" w:type="dxa"/>
            <w:tcBorders>
              <w:top w:val="nil"/>
              <w:left w:val="nil"/>
              <w:bottom w:val="nil"/>
              <w:right w:val="nil"/>
            </w:tcBorders>
            <w:shd w:val="clear" w:color="000000" w:fill="FFFFFF"/>
            <w:noWrap/>
            <w:vAlign w:val="bottom"/>
            <w:hideMark/>
          </w:tcPr>
          <w:p w14:paraId="4C6F2C4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Canada</w:t>
            </w:r>
          </w:p>
        </w:tc>
        <w:tc>
          <w:tcPr>
            <w:tcW w:w="1090" w:type="dxa"/>
            <w:tcBorders>
              <w:top w:val="nil"/>
              <w:left w:val="nil"/>
              <w:bottom w:val="nil"/>
              <w:right w:val="nil"/>
            </w:tcBorders>
            <w:shd w:val="clear" w:color="000000" w:fill="FFFFFF"/>
            <w:noWrap/>
            <w:vAlign w:val="bottom"/>
            <w:hideMark/>
          </w:tcPr>
          <w:p w14:paraId="60036F8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-1.714</w:t>
            </w:r>
          </w:p>
        </w:tc>
        <w:tc>
          <w:tcPr>
            <w:tcW w:w="1030" w:type="dxa"/>
            <w:tcBorders>
              <w:top w:val="nil"/>
              <w:left w:val="nil"/>
              <w:bottom w:val="nil"/>
              <w:right w:val="nil"/>
            </w:tcBorders>
            <w:shd w:val="clear" w:color="000000" w:fill="FFFFFF"/>
            <w:noWrap/>
            <w:vAlign w:val="bottom"/>
            <w:hideMark/>
          </w:tcPr>
          <w:p w14:paraId="7EDB251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1.929</w:t>
            </w:r>
          </w:p>
        </w:tc>
        <w:tc>
          <w:tcPr>
            <w:tcW w:w="1090" w:type="dxa"/>
            <w:tcBorders>
              <w:top w:val="nil"/>
              <w:left w:val="nil"/>
              <w:bottom w:val="nil"/>
              <w:right w:val="nil"/>
            </w:tcBorders>
            <w:shd w:val="clear" w:color="000000" w:fill="FFFFFF"/>
            <w:noWrap/>
            <w:vAlign w:val="bottom"/>
            <w:hideMark/>
          </w:tcPr>
          <w:p w14:paraId="382A343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-5.196</w:t>
            </w:r>
          </w:p>
        </w:tc>
        <w:tc>
          <w:tcPr>
            <w:tcW w:w="1090" w:type="dxa"/>
            <w:tcBorders>
              <w:top w:val="nil"/>
              <w:left w:val="nil"/>
              <w:bottom w:val="nil"/>
              <w:right w:val="nil"/>
            </w:tcBorders>
            <w:shd w:val="clear" w:color="000000" w:fill="FFFFFF"/>
            <w:noWrap/>
            <w:vAlign w:val="bottom"/>
            <w:hideMark/>
          </w:tcPr>
          <w:p w14:paraId="4622655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3.715</w:t>
            </w:r>
          </w:p>
        </w:tc>
        <w:tc>
          <w:tcPr>
            <w:tcW w:w="956" w:type="dxa"/>
            <w:tcBorders>
              <w:top w:val="nil"/>
              <w:left w:val="nil"/>
              <w:bottom w:val="nil"/>
              <w:right w:val="nil"/>
            </w:tcBorders>
            <w:shd w:val="clear" w:color="000000" w:fill="FFFFFF"/>
            <w:noWrap/>
            <w:vAlign w:val="bottom"/>
            <w:hideMark/>
          </w:tcPr>
          <w:p w14:paraId="3095C2D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1961-Q1</w:t>
            </w:r>
          </w:p>
        </w:tc>
        <w:tc>
          <w:tcPr>
            <w:tcW w:w="956" w:type="dxa"/>
            <w:tcBorders>
              <w:top w:val="nil"/>
              <w:left w:val="nil"/>
              <w:bottom w:val="nil"/>
              <w:right w:val="nil"/>
            </w:tcBorders>
            <w:shd w:val="clear" w:color="000000" w:fill="FFFFFF"/>
            <w:noWrap/>
            <w:vAlign w:val="bottom"/>
            <w:hideMark/>
          </w:tcPr>
          <w:p w14:paraId="7C61B4C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4B62543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256</w:t>
            </w:r>
          </w:p>
        </w:tc>
      </w:tr>
      <w:tr w:rsidR="00AE739C" w:rsidRPr="00935EAC" w14:paraId="01AE4C61" w14:textId="77777777" w:rsidTr="0073265E">
        <w:trPr>
          <w:trHeight w:val="170"/>
        </w:trPr>
        <w:tc>
          <w:tcPr>
            <w:tcW w:w="960" w:type="dxa"/>
            <w:tcBorders>
              <w:top w:val="nil"/>
              <w:left w:val="nil"/>
              <w:bottom w:val="nil"/>
              <w:right w:val="nil"/>
            </w:tcBorders>
            <w:shd w:val="clear" w:color="000000" w:fill="FFFFFF"/>
            <w:noWrap/>
            <w:vAlign w:val="bottom"/>
            <w:hideMark/>
          </w:tcPr>
          <w:p w14:paraId="6CEC4AA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14</w:t>
            </w:r>
          </w:p>
        </w:tc>
        <w:tc>
          <w:tcPr>
            <w:tcW w:w="2254" w:type="dxa"/>
            <w:tcBorders>
              <w:top w:val="nil"/>
              <w:left w:val="nil"/>
              <w:bottom w:val="nil"/>
              <w:right w:val="nil"/>
            </w:tcBorders>
            <w:shd w:val="clear" w:color="000000" w:fill="FFFFFF"/>
            <w:noWrap/>
            <w:vAlign w:val="bottom"/>
            <w:hideMark/>
          </w:tcPr>
          <w:p w14:paraId="3FFA193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Chile</w:t>
            </w:r>
          </w:p>
        </w:tc>
        <w:tc>
          <w:tcPr>
            <w:tcW w:w="1090" w:type="dxa"/>
            <w:tcBorders>
              <w:top w:val="nil"/>
              <w:left w:val="nil"/>
              <w:bottom w:val="nil"/>
              <w:right w:val="nil"/>
            </w:tcBorders>
            <w:shd w:val="clear" w:color="000000" w:fill="FFFFFF"/>
            <w:noWrap/>
            <w:vAlign w:val="bottom"/>
            <w:hideMark/>
          </w:tcPr>
          <w:p w14:paraId="78A6B76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-2.386</w:t>
            </w:r>
          </w:p>
        </w:tc>
        <w:tc>
          <w:tcPr>
            <w:tcW w:w="1030" w:type="dxa"/>
            <w:tcBorders>
              <w:top w:val="nil"/>
              <w:left w:val="nil"/>
              <w:bottom w:val="nil"/>
              <w:right w:val="nil"/>
            </w:tcBorders>
            <w:shd w:val="clear" w:color="000000" w:fill="FFFFFF"/>
            <w:noWrap/>
            <w:vAlign w:val="bottom"/>
            <w:hideMark/>
          </w:tcPr>
          <w:p w14:paraId="2ED816B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3.742</w:t>
            </w:r>
          </w:p>
        </w:tc>
        <w:tc>
          <w:tcPr>
            <w:tcW w:w="1090" w:type="dxa"/>
            <w:tcBorders>
              <w:top w:val="nil"/>
              <w:left w:val="nil"/>
              <w:bottom w:val="nil"/>
              <w:right w:val="nil"/>
            </w:tcBorders>
            <w:shd w:val="clear" w:color="000000" w:fill="FFFFFF"/>
            <w:noWrap/>
            <w:vAlign w:val="bottom"/>
            <w:hideMark/>
          </w:tcPr>
          <w:p w14:paraId="32EC017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-11.762</w:t>
            </w:r>
          </w:p>
        </w:tc>
        <w:tc>
          <w:tcPr>
            <w:tcW w:w="1090" w:type="dxa"/>
            <w:tcBorders>
              <w:top w:val="nil"/>
              <w:left w:val="nil"/>
              <w:bottom w:val="nil"/>
              <w:right w:val="nil"/>
            </w:tcBorders>
            <w:shd w:val="clear" w:color="000000" w:fill="FFFFFF"/>
            <w:noWrap/>
            <w:vAlign w:val="bottom"/>
            <w:hideMark/>
          </w:tcPr>
          <w:p w14:paraId="2301C2D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7.343</w:t>
            </w:r>
          </w:p>
        </w:tc>
        <w:tc>
          <w:tcPr>
            <w:tcW w:w="956" w:type="dxa"/>
            <w:tcBorders>
              <w:top w:val="nil"/>
              <w:left w:val="nil"/>
              <w:bottom w:val="nil"/>
              <w:right w:val="nil"/>
            </w:tcBorders>
            <w:shd w:val="clear" w:color="000000" w:fill="FFFFFF"/>
            <w:noWrap/>
            <w:vAlign w:val="bottom"/>
            <w:hideMark/>
          </w:tcPr>
          <w:p w14:paraId="159BC4C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1991-Q1</w:t>
            </w:r>
          </w:p>
        </w:tc>
        <w:tc>
          <w:tcPr>
            <w:tcW w:w="956" w:type="dxa"/>
            <w:tcBorders>
              <w:top w:val="nil"/>
              <w:left w:val="nil"/>
              <w:bottom w:val="nil"/>
              <w:right w:val="nil"/>
            </w:tcBorders>
            <w:shd w:val="clear" w:color="000000" w:fill="FFFFFF"/>
            <w:noWrap/>
            <w:vAlign w:val="bottom"/>
            <w:hideMark/>
          </w:tcPr>
          <w:p w14:paraId="13D92C5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0D86A68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136</w:t>
            </w:r>
          </w:p>
        </w:tc>
      </w:tr>
      <w:tr w:rsidR="00AE739C" w:rsidRPr="00935EAC" w14:paraId="23E06B19" w14:textId="77777777" w:rsidTr="0073265E">
        <w:trPr>
          <w:trHeight w:val="170"/>
        </w:trPr>
        <w:tc>
          <w:tcPr>
            <w:tcW w:w="960" w:type="dxa"/>
            <w:tcBorders>
              <w:top w:val="nil"/>
              <w:left w:val="nil"/>
              <w:bottom w:val="nil"/>
              <w:right w:val="nil"/>
            </w:tcBorders>
            <w:shd w:val="clear" w:color="000000" w:fill="FFFFFF"/>
            <w:noWrap/>
            <w:vAlign w:val="bottom"/>
            <w:hideMark/>
          </w:tcPr>
          <w:p w14:paraId="16B4CA7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15</w:t>
            </w:r>
          </w:p>
        </w:tc>
        <w:tc>
          <w:tcPr>
            <w:tcW w:w="2254" w:type="dxa"/>
            <w:tcBorders>
              <w:top w:val="nil"/>
              <w:left w:val="nil"/>
              <w:bottom w:val="nil"/>
              <w:right w:val="nil"/>
            </w:tcBorders>
            <w:shd w:val="clear" w:color="000000" w:fill="FFFFFF"/>
            <w:noWrap/>
            <w:vAlign w:val="bottom"/>
            <w:hideMark/>
          </w:tcPr>
          <w:p w14:paraId="30C88EB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China</w:t>
            </w:r>
          </w:p>
        </w:tc>
        <w:tc>
          <w:tcPr>
            <w:tcW w:w="1090" w:type="dxa"/>
            <w:tcBorders>
              <w:top w:val="nil"/>
              <w:left w:val="nil"/>
              <w:bottom w:val="nil"/>
              <w:right w:val="nil"/>
            </w:tcBorders>
            <w:shd w:val="clear" w:color="000000" w:fill="FFFFFF"/>
            <w:noWrap/>
            <w:vAlign w:val="bottom"/>
            <w:hideMark/>
          </w:tcPr>
          <w:p w14:paraId="19184F5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2.700</w:t>
            </w:r>
          </w:p>
        </w:tc>
        <w:tc>
          <w:tcPr>
            <w:tcW w:w="1030" w:type="dxa"/>
            <w:tcBorders>
              <w:top w:val="nil"/>
              <w:left w:val="nil"/>
              <w:bottom w:val="nil"/>
              <w:right w:val="nil"/>
            </w:tcBorders>
            <w:shd w:val="clear" w:color="000000" w:fill="FFFFFF"/>
            <w:noWrap/>
            <w:vAlign w:val="bottom"/>
            <w:hideMark/>
          </w:tcPr>
          <w:p w14:paraId="54A860F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2.584</w:t>
            </w:r>
          </w:p>
        </w:tc>
        <w:tc>
          <w:tcPr>
            <w:tcW w:w="1090" w:type="dxa"/>
            <w:tcBorders>
              <w:top w:val="nil"/>
              <w:left w:val="nil"/>
              <w:bottom w:val="nil"/>
              <w:right w:val="nil"/>
            </w:tcBorders>
            <w:shd w:val="clear" w:color="000000" w:fill="FFFFFF"/>
            <w:noWrap/>
            <w:vAlign w:val="bottom"/>
            <w:hideMark/>
          </w:tcPr>
          <w:p w14:paraId="5A9C016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-2.372</w:t>
            </w:r>
          </w:p>
        </w:tc>
        <w:tc>
          <w:tcPr>
            <w:tcW w:w="1090" w:type="dxa"/>
            <w:tcBorders>
              <w:top w:val="nil"/>
              <w:left w:val="nil"/>
              <w:bottom w:val="nil"/>
              <w:right w:val="nil"/>
            </w:tcBorders>
            <w:shd w:val="clear" w:color="000000" w:fill="FFFFFF"/>
            <w:noWrap/>
            <w:vAlign w:val="bottom"/>
            <w:hideMark/>
          </w:tcPr>
          <w:p w14:paraId="2DEF807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10.880</w:t>
            </w:r>
          </w:p>
        </w:tc>
        <w:tc>
          <w:tcPr>
            <w:tcW w:w="956" w:type="dxa"/>
            <w:tcBorders>
              <w:top w:val="nil"/>
              <w:left w:val="nil"/>
              <w:bottom w:val="nil"/>
              <w:right w:val="nil"/>
            </w:tcBorders>
            <w:shd w:val="clear" w:color="000000" w:fill="FFFFFF"/>
            <w:noWrap/>
            <w:vAlign w:val="bottom"/>
            <w:hideMark/>
          </w:tcPr>
          <w:p w14:paraId="581F8B0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1991-Q1</w:t>
            </w:r>
          </w:p>
        </w:tc>
        <w:tc>
          <w:tcPr>
            <w:tcW w:w="956" w:type="dxa"/>
            <w:tcBorders>
              <w:top w:val="nil"/>
              <w:left w:val="nil"/>
              <w:bottom w:val="nil"/>
              <w:right w:val="nil"/>
            </w:tcBorders>
            <w:shd w:val="clear" w:color="000000" w:fill="FFFFFF"/>
            <w:noWrap/>
            <w:vAlign w:val="bottom"/>
            <w:hideMark/>
          </w:tcPr>
          <w:p w14:paraId="4D26524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5230595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136</w:t>
            </w:r>
          </w:p>
        </w:tc>
      </w:tr>
      <w:tr w:rsidR="00AE739C" w:rsidRPr="00935EAC" w14:paraId="39855CAC" w14:textId="77777777" w:rsidTr="0073265E">
        <w:trPr>
          <w:trHeight w:val="170"/>
        </w:trPr>
        <w:tc>
          <w:tcPr>
            <w:tcW w:w="960" w:type="dxa"/>
            <w:tcBorders>
              <w:top w:val="nil"/>
              <w:left w:val="nil"/>
              <w:bottom w:val="nil"/>
              <w:right w:val="nil"/>
            </w:tcBorders>
            <w:shd w:val="clear" w:color="000000" w:fill="FFFFFF"/>
            <w:noWrap/>
            <w:vAlign w:val="bottom"/>
            <w:hideMark/>
          </w:tcPr>
          <w:p w14:paraId="737967A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w:t>
            </w:r>
          </w:p>
        </w:tc>
        <w:tc>
          <w:tcPr>
            <w:tcW w:w="2254" w:type="dxa"/>
            <w:tcBorders>
              <w:top w:val="nil"/>
              <w:left w:val="nil"/>
              <w:bottom w:val="nil"/>
              <w:right w:val="nil"/>
            </w:tcBorders>
            <w:shd w:val="clear" w:color="000000" w:fill="FFFFFF"/>
            <w:noWrap/>
            <w:vAlign w:val="bottom"/>
            <w:hideMark/>
          </w:tcPr>
          <w:p w14:paraId="138AA67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Colombia</w:t>
            </w:r>
          </w:p>
        </w:tc>
        <w:tc>
          <w:tcPr>
            <w:tcW w:w="1090" w:type="dxa"/>
            <w:tcBorders>
              <w:top w:val="nil"/>
              <w:left w:val="nil"/>
              <w:bottom w:val="nil"/>
              <w:right w:val="nil"/>
            </w:tcBorders>
            <w:shd w:val="clear" w:color="000000" w:fill="FFFFFF"/>
            <w:noWrap/>
            <w:vAlign w:val="bottom"/>
            <w:hideMark/>
          </w:tcPr>
          <w:p w14:paraId="49212EF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-3.036</w:t>
            </w:r>
          </w:p>
        </w:tc>
        <w:tc>
          <w:tcPr>
            <w:tcW w:w="1030" w:type="dxa"/>
            <w:tcBorders>
              <w:top w:val="nil"/>
              <w:left w:val="nil"/>
              <w:bottom w:val="nil"/>
              <w:right w:val="nil"/>
            </w:tcBorders>
            <w:shd w:val="clear" w:color="000000" w:fill="FFFFFF"/>
            <w:noWrap/>
            <w:vAlign w:val="bottom"/>
            <w:hideMark/>
          </w:tcPr>
          <w:p w14:paraId="1913D71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2.033</w:t>
            </w:r>
          </w:p>
        </w:tc>
        <w:tc>
          <w:tcPr>
            <w:tcW w:w="1090" w:type="dxa"/>
            <w:tcBorders>
              <w:top w:val="nil"/>
              <w:left w:val="nil"/>
              <w:bottom w:val="nil"/>
              <w:right w:val="nil"/>
            </w:tcBorders>
            <w:shd w:val="clear" w:color="000000" w:fill="FFFFFF"/>
            <w:noWrap/>
            <w:vAlign w:val="bottom"/>
            <w:hideMark/>
          </w:tcPr>
          <w:p w14:paraId="292F053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-6.948</w:t>
            </w:r>
          </w:p>
        </w:tc>
        <w:tc>
          <w:tcPr>
            <w:tcW w:w="1090" w:type="dxa"/>
            <w:tcBorders>
              <w:top w:val="nil"/>
              <w:left w:val="nil"/>
              <w:bottom w:val="nil"/>
              <w:right w:val="nil"/>
            </w:tcBorders>
            <w:shd w:val="clear" w:color="000000" w:fill="FFFFFF"/>
            <w:noWrap/>
            <w:vAlign w:val="bottom"/>
            <w:hideMark/>
          </w:tcPr>
          <w:p w14:paraId="0BE6E3F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1.226</w:t>
            </w:r>
          </w:p>
        </w:tc>
        <w:tc>
          <w:tcPr>
            <w:tcW w:w="956" w:type="dxa"/>
            <w:tcBorders>
              <w:top w:val="nil"/>
              <w:left w:val="nil"/>
              <w:bottom w:val="nil"/>
              <w:right w:val="nil"/>
            </w:tcBorders>
            <w:shd w:val="clear" w:color="000000" w:fill="FFFFFF"/>
            <w:noWrap/>
            <w:vAlign w:val="bottom"/>
            <w:hideMark/>
          </w:tcPr>
          <w:p w14:paraId="33C5742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1996-Q1</w:t>
            </w:r>
          </w:p>
        </w:tc>
        <w:tc>
          <w:tcPr>
            <w:tcW w:w="956" w:type="dxa"/>
            <w:tcBorders>
              <w:top w:val="nil"/>
              <w:left w:val="nil"/>
              <w:bottom w:val="nil"/>
              <w:right w:val="nil"/>
            </w:tcBorders>
            <w:shd w:val="clear" w:color="000000" w:fill="FFFFFF"/>
            <w:noWrap/>
            <w:vAlign w:val="bottom"/>
            <w:hideMark/>
          </w:tcPr>
          <w:p w14:paraId="3905865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240045E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116</w:t>
            </w:r>
          </w:p>
        </w:tc>
      </w:tr>
      <w:tr w:rsidR="00AE739C" w:rsidRPr="00935EAC" w14:paraId="41E3232B" w14:textId="77777777" w:rsidTr="0073265E">
        <w:trPr>
          <w:trHeight w:val="170"/>
        </w:trPr>
        <w:tc>
          <w:tcPr>
            <w:tcW w:w="960" w:type="dxa"/>
            <w:tcBorders>
              <w:top w:val="nil"/>
              <w:left w:val="nil"/>
              <w:bottom w:val="nil"/>
              <w:right w:val="nil"/>
            </w:tcBorders>
            <w:shd w:val="clear" w:color="000000" w:fill="FFFFFF"/>
            <w:noWrap/>
            <w:vAlign w:val="bottom"/>
            <w:hideMark/>
          </w:tcPr>
          <w:p w14:paraId="4C40F21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17</w:t>
            </w:r>
          </w:p>
        </w:tc>
        <w:tc>
          <w:tcPr>
            <w:tcW w:w="2254" w:type="dxa"/>
            <w:tcBorders>
              <w:top w:val="nil"/>
              <w:left w:val="nil"/>
              <w:bottom w:val="nil"/>
              <w:right w:val="nil"/>
            </w:tcBorders>
            <w:shd w:val="clear" w:color="000000" w:fill="FFFFFF"/>
            <w:noWrap/>
            <w:vAlign w:val="bottom"/>
            <w:hideMark/>
          </w:tcPr>
          <w:p w14:paraId="72948B1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Costa Rica</w:t>
            </w:r>
          </w:p>
        </w:tc>
        <w:tc>
          <w:tcPr>
            <w:tcW w:w="1090" w:type="dxa"/>
            <w:tcBorders>
              <w:top w:val="nil"/>
              <w:left w:val="nil"/>
              <w:bottom w:val="nil"/>
              <w:right w:val="nil"/>
            </w:tcBorders>
            <w:shd w:val="clear" w:color="000000" w:fill="FFFFFF"/>
            <w:noWrap/>
            <w:vAlign w:val="bottom"/>
            <w:hideMark/>
          </w:tcPr>
          <w:p w14:paraId="47A8BB4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-3.759</w:t>
            </w:r>
          </w:p>
        </w:tc>
        <w:tc>
          <w:tcPr>
            <w:tcW w:w="1030" w:type="dxa"/>
            <w:tcBorders>
              <w:top w:val="nil"/>
              <w:left w:val="nil"/>
              <w:bottom w:val="nil"/>
              <w:right w:val="nil"/>
            </w:tcBorders>
            <w:shd w:val="clear" w:color="000000" w:fill="FFFFFF"/>
            <w:noWrap/>
            <w:vAlign w:val="bottom"/>
            <w:hideMark/>
          </w:tcPr>
          <w:p w14:paraId="2F26AA5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2.020</w:t>
            </w:r>
          </w:p>
        </w:tc>
        <w:tc>
          <w:tcPr>
            <w:tcW w:w="1090" w:type="dxa"/>
            <w:tcBorders>
              <w:top w:val="nil"/>
              <w:left w:val="nil"/>
              <w:bottom w:val="nil"/>
              <w:right w:val="nil"/>
            </w:tcBorders>
            <w:shd w:val="clear" w:color="000000" w:fill="FFFFFF"/>
            <w:noWrap/>
            <w:vAlign w:val="bottom"/>
            <w:hideMark/>
          </w:tcPr>
          <w:p w14:paraId="7961302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-12.192</w:t>
            </w:r>
          </w:p>
        </w:tc>
        <w:tc>
          <w:tcPr>
            <w:tcW w:w="1090" w:type="dxa"/>
            <w:tcBorders>
              <w:top w:val="nil"/>
              <w:left w:val="nil"/>
              <w:bottom w:val="nil"/>
              <w:right w:val="nil"/>
            </w:tcBorders>
            <w:shd w:val="clear" w:color="000000" w:fill="FFFFFF"/>
            <w:noWrap/>
            <w:vAlign w:val="bottom"/>
            <w:hideMark/>
          </w:tcPr>
          <w:p w14:paraId="2082427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0.760</w:t>
            </w:r>
          </w:p>
        </w:tc>
        <w:tc>
          <w:tcPr>
            <w:tcW w:w="956" w:type="dxa"/>
            <w:tcBorders>
              <w:top w:val="nil"/>
              <w:left w:val="nil"/>
              <w:bottom w:val="nil"/>
              <w:right w:val="nil"/>
            </w:tcBorders>
            <w:shd w:val="clear" w:color="000000" w:fill="FFFFFF"/>
            <w:noWrap/>
            <w:vAlign w:val="bottom"/>
            <w:hideMark/>
          </w:tcPr>
          <w:p w14:paraId="403D469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1999-Q1</w:t>
            </w:r>
          </w:p>
        </w:tc>
        <w:tc>
          <w:tcPr>
            <w:tcW w:w="956" w:type="dxa"/>
            <w:tcBorders>
              <w:top w:val="nil"/>
              <w:left w:val="nil"/>
              <w:bottom w:val="nil"/>
              <w:right w:val="nil"/>
            </w:tcBorders>
            <w:shd w:val="clear" w:color="000000" w:fill="FFFFFF"/>
            <w:noWrap/>
            <w:vAlign w:val="bottom"/>
            <w:hideMark/>
          </w:tcPr>
          <w:p w14:paraId="09C9195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02DF0C2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104</w:t>
            </w:r>
          </w:p>
        </w:tc>
      </w:tr>
      <w:tr w:rsidR="00AE739C" w:rsidRPr="00935EAC" w14:paraId="5A79E582" w14:textId="77777777" w:rsidTr="0073265E">
        <w:trPr>
          <w:trHeight w:val="170"/>
        </w:trPr>
        <w:tc>
          <w:tcPr>
            <w:tcW w:w="960" w:type="dxa"/>
            <w:tcBorders>
              <w:top w:val="nil"/>
              <w:left w:val="nil"/>
              <w:bottom w:val="nil"/>
              <w:right w:val="nil"/>
            </w:tcBorders>
            <w:shd w:val="clear" w:color="000000" w:fill="FFFFFF"/>
            <w:noWrap/>
            <w:vAlign w:val="bottom"/>
            <w:hideMark/>
          </w:tcPr>
          <w:p w14:paraId="41C8F60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18</w:t>
            </w:r>
          </w:p>
        </w:tc>
        <w:tc>
          <w:tcPr>
            <w:tcW w:w="2254" w:type="dxa"/>
            <w:tcBorders>
              <w:top w:val="nil"/>
              <w:left w:val="nil"/>
              <w:bottom w:val="nil"/>
              <w:right w:val="nil"/>
            </w:tcBorders>
            <w:shd w:val="clear" w:color="000000" w:fill="FFFFFF"/>
            <w:noWrap/>
            <w:vAlign w:val="bottom"/>
            <w:hideMark/>
          </w:tcPr>
          <w:p w14:paraId="5593270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Croatia</w:t>
            </w:r>
          </w:p>
        </w:tc>
        <w:tc>
          <w:tcPr>
            <w:tcW w:w="1090" w:type="dxa"/>
            <w:tcBorders>
              <w:top w:val="nil"/>
              <w:left w:val="nil"/>
              <w:bottom w:val="nil"/>
              <w:right w:val="nil"/>
            </w:tcBorders>
            <w:shd w:val="clear" w:color="000000" w:fill="FFFFFF"/>
            <w:noWrap/>
            <w:vAlign w:val="bottom"/>
            <w:hideMark/>
          </w:tcPr>
          <w:p w14:paraId="094C67F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-4.414</w:t>
            </w:r>
          </w:p>
        </w:tc>
        <w:tc>
          <w:tcPr>
            <w:tcW w:w="1030" w:type="dxa"/>
            <w:tcBorders>
              <w:top w:val="nil"/>
              <w:left w:val="nil"/>
              <w:bottom w:val="nil"/>
              <w:right w:val="nil"/>
            </w:tcBorders>
            <w:shd w:val="clear" w:color="000000" w:fill="FFFFFF"/>
            <w:noWrap/>
            <w:vAlign w:val="bottom"/>
            <w:hideMark/>
          </w:tcPr>
          <w:p w14:paraId="533D72A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4.384</w:t>
            </w:r>
          </w:p>
        </w:tc>
        <w:tc>
          <w:tcPr>
            <w:tcW w:w="1090" w:type="dxa"/>
            <w:tcBorders>
              <w:top w:val="nil"/>
              <w:left w:val="nil"/>
              <w:bottom w:val="nil"/>
              <w:right w:val="nil"/>
            </w:tcBorders>
            <w:shd w:val="clear" w:color="000000" w:fill="FFFFFF"/>
            <w:noWrap/>
            <w:vAlign w:val="bottom"/>
            <w:hideMark/>
          </w:tcPr>
          <w:p w14:paraId="7765520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-20.039</w:t>
            </w:r>
          </w:p>
        </w:tc>
        <w:tc>
          <w:tcPr>
            <w:tcW w:w="1090" w:type="dxa"/>
            <w:tcBorders>
              <w:top w:val="nil"/>
              <w:left w:val="nil"/>
              <w:bottom w:val="nil"/>
              <w:right w:val="nil"/>
            </w:tcBorders>
            <w:shd w:val="clear" w:color="000000" w:fill="FFFFFF"/>
            <w:noWrap/>
            <w:vAlign w:val="bottom"/>
            <w:hideMark/>
          </w:tcPr>
          <w:p w14:paraId="0508C81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4.770</w:t>
            </w:r>
          </w:p>
        </w:tc>
        <w:tc>
          <w:tcPr>
            <w:tcW w:w="956" w:type="dxa"/>
            <w:tcBorders>
              <w:top w:val="nil"/>
              <w:left w:val="nil"/>
              <w:bottom w:val="nil"/>
              <w:right w:val="nil"/>
            </w:tcBorders>
            <w:shd w:val="clear" w:color="000000" w:fill="FFFFFF"/>
            <w:noWrap/>
            <w:vAlign w:val="bottom"/>
            <w:hideMark/>
          </w:tcPr>
          <w:p w14:paraId="3CEFC87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1994-Q4</w:t>
            </w:r>
          </w:p>
        </w:tc>
        <w:tc>
          <w:tcPr>
            <w:tcW w:w="956" w:type="dxa"/>
            <w:tcBorders>
              <w:top w:val="nil"/>
              <w:left w:val="nil"/>
              <w:bottom w:val="nil"/>
              <w:right w:val="nil"/>
            </w:tcBorders>
            <w:shd w:val="clear" w:color="000000" w:fill="FFFFFF"/>
            <w:noWrap/>
            <w:vAlign w:val="bottom"/>
            <w:hideMark/>
          </w:tcPr>
          <w:p w14:paraId="55EAF92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2024-Q3</w:t>
            </w:r>
          </w:p>
        </w:tc>
        <w:tc>
          <w:tcPr>
            <w:tcW w:w="574" w:type="dxa"/>
            <w:tcBorders>
              <w:top w:val="nil"/>
              <w:left w:val="nil"/>
              <w:bottom w:val="nil"/>
              <w:right w:val="nil"/>
            </w:tcBorders>
            <w:shd w:val="clear" w:color="000000" w:fill="FFFFFF"/>
            <w:noWrap/>
            <w:vAlign w:val="bottom"/>
            <w:hideMark/>
          </w:tcPr>
          <w:p w14:paraId="3264A77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120</w:t>
            </w:r>
          </w:p>
        </w:tc>
      </w:tr>
      <w:tr w:rsidR="00AE739C" w:rsidRPr="00935EAC" w14:paraId="5D0C05CC" w14:textId="77777777" w:rsidTr="0073265E">
        <w:trPr>
          <w:trHeight w:val="170"/>
        </w:trPr>
        <w:tc>
          <w:tcPr>
            <w:tcW w:w="960" w:type="dxa"/>
            <w:tcBorders>
              <w:top w:val="nil"/>
              <w:left w:val="nil"/>
              <w:bottom w:val="nil"/>
              <w:right w:val="nil"/>
            </w:tcBorders>
            <w:shd w:val="clear" w:color="000000" w:fill="FFFFFF"/>
            <w:noWrap/>
            <w:vAlign w:val="bottom"/>
            <w:hideMark/>
          </w:tcPr>
          <w:p w14:paraId="1166A58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w:t>
            </w:r>
          </w:p>
        </w:tc>
        <w:tc>
          <w:tcPr>
            <w:tcW w:w="2254" w:type="dxa"/>
            <w:tcBorders>
              <w:top w:val="nil"/>
              <w:left w:val="nil"/>
              <w:bottom w:val="nil"/>
              <w:right w:val="nil"/>
            </w:tcBorders>
            <w:shd w:val="clear" w:color="000000" w:fill="FFFFFF"/>
            <w:noWrap/>
            <w:vAlign w:val="bottom"/>
            <w:hideMark/>
          </w:tcPr>
          <w:p w14:paraId="29E9558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Cyprus</w:t>
            </w:r>
          </w:p>
        </w:tc>
        <w:tc>
          <w:tcPr>
            <w:tcW w:w="1090" w:type="dxa"/>
            <w:tcBorders>
              <w:top w:val="nil"/>
              <w:left w:val="nil"/>
              <w:bottom w:val="nil"/>
              <w:right w:val="nil"/>
            </w:tcBorders>
            <w:shd w:val="clear" w:color="000000" w:fill="FFFFFF"/>
            <w:noWrap/>
            <w:vAlign w:val="bottom"/>
            <w:hideMark/>
          </w:tcPr>
          <w:p w14:paraId="7783174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-5.935</w:t>
            </w:r>
          </w:p>
        </w:tc>
        <w:tc>
          <w:tcPr>
            <w:tcW w:w="1030" w:type="dxa"/>
            <w:tcBorders>
              <w:top w:val="nil"/>
              <w:left w:val="nil"/>
              <w:bottom w:val="nil"/>
              <w:right w:val="nil"/>
            </w:tcBorders>
            <w:shd w:val="clear" w:color="000000" w:fill="FFFFFF"/>
            <w:noWrap/>
            <w:vAlign w:val="bottom"/>
            <w:hideMark/>
          </w:tcPr>
          <w:p w14:paraId="7B21B71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3.736</w:t>
            </w:r>
          </w:p>
        </w:tc>
        <w:tc>
          <w:tcPr>
            <w:tcW w:w="1090" w:type="dxa"/>
            <w:tcBorders>
              <w:top w:val="nil"/>
              <w:left w:val="nil"/>
              <w:bottom w:val="nil"/>
              <w:right w:val="nil"/>
            </w:tcBorders>
            <w:shd w:val="clear" w:color="000000" w:fill="FFFFFF"/>
            <w:noWrap/>
            <w:vAlign w:val="bottom"/>
            <w:hideMark/>
          </w:tcPr>
          <w:p w14:paraId="5779F08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-15.955</w:t>
            </w:r>
          </w:p>
        </w:tc>
        <w:tc>
          <w:tcPr>
            <w:tcW w:w="1090" w:type="dxa"/>
            <w:tcBorders>
              <w:top w:val="nil"/>
              <w:left w:val="nil"/>
              <w:bottom w:val="nil"/>
              <w:right w:val="nil"/>
            </w:tcBorders>
            <w:shd w:val="clear" w:color="000000" w:fill="FFFFFF"/>
            <w:noWrap/>
            <w:vAlign w:val="bottom"/>
            <w:hideMark/>
          </w:tcPr>
          <w:p w14:paraId="7C0E538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1.248</w:t>
            </w:r>
          </w:p>
        </w:tc>
        <w:tc>
          <w:tcPr>
            <w:tcW w:w="956" w:type="dxa"/>
            <w:tcBorders>
              <w:top w:val="nil"/>
              <w:left w:val="nil"/>
              <w:bottom w:val="nil"/>
              <w:right w:val="nil"/>
            </w:tcBorders>
            <w:shd w:val="clear" w:color="000000" w:fill="FFFFFF"/>
            <w:noWrap/>
            <w:vAlign w:val="bottom"/>
            <w:hideMark/>
          </w:tcPr>
          <w:p w14:paraId="4CA710A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2004-Q1</w:t>
            </w:r>
          </w:p>
        </w:tc>
        <w:tc>
          <w:tcPr>
            <w:tcW w:w="956" w:type="dxa"/>
            <w:tcBorders>
              <w:top w:val="nil"/>
              <w:left w:val="nil"/>
              <w:bottom w:val="nil"/>
              <w:right w:val="nil"/>
            </w:tcBorders>
            <w:shd w:val="clear" w:color="000000" w:fill="FFFFFF"/>
            <w:noWrap/>
            <w:vAlign w:val="bottom"/>
            <w:hideMark/>
          </w:tcPr>
          <w:p w14:paraId="4036898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2024-Q3</w:t>
            </w:r>
          </w:p>
        </w:tc>
        <w:tc>
          <w:tcPr>
            <w:tcW w:w="574" w:type="dxa"/>
            <w:tcBorders>
              <w:top w:val="nil"/>
              <w:left w:val="nil"/>
              <w:bottom w:val="nil"/>
              <w:right w:val="nil"/>
            </w:tcBorders>
            <w:shd w:val="clear" w:color="000000" w:fill="FFFFFF"/>
            <w:noWrap/>
            <w:vAlign w:val="bottom"/>
            <w:hideMark/>
          </w:tcPr>
          <w:p w14:paraId="0747802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83</w:t>
            </w:r>
          </w:p>
        </w:tc>
      </w:tr>
      <w:tr w:rsidR="00AE739C" w:rsidRPr="00935EAC" w14:paraId="60F49208" w14:textId="77777777" w:rsidTr="0073265E">
        <w:trPr>
          <w:trHeight w:val="170"/>
        </w:trPr>
        <w:tc>
          <w:tcPr>
            <w:tcW w:w="960" w:type="dxa"/>
            <w:tcBorders>
              <w:top w:val="nil"/>
              <w:left w:val="nil"/>
              <w:bottom w:val="nil"/>
              <w:right w:val="nil"/>
            </w:tcBorders>
            <w:shd w:val="clear" w:color="000000" w:fill="FFFFFF"/>
            <w:noWrap/>
            <w:vAlign w:val="bottom"/>
            <w:hideMark/>
          </w:tcPr>
          <w:p w14:paraId="314754B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w:t>
            </w:r>
          </w:p>
        </w:tc>
        <w:tc>
          <w:tcPr>
            <w:tcW w:w="2254" w:type="dxa"/>
            <w:tcBorders>
              <w:top w:val="nil"/>
              <w:left w:val="nil"/>
              <w:bottom w:val="nil"/>
              <w:right w:val="nil"/>
            </w:tcBorders>
            <w:shd w:val="clear" w:color="000000" w:fill="FFFFFF"/>
            <w:noWrap/>
            <w:vAlign w:val="bottom"/>
            <w:hideMark/>
          </w:tcPr>
          <w:p w14:paraId="18893EF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Czech Republic</w:t>
            </w:r>
          </w:p>
        </w:tc>
        <w:tc>
          <w:tcPr>
            <w:tcW w:w="1090" w:type="dxa"/>
            <w:tcBorders>
              <w:top w:val="nil"/>
              <w:left w:val="nil"/>
              <w:bottom w:val="nil"/>
              <w:right w:val="nil"/>
            </w:tcBorders>
            <w:shd w:val="clear" w:color="000000" w:fill="FFFFFF"/>
            <w:noWrap/>
            <w:vAlign w:val="bottom"/>
            <w:hideMark/>
          </w:tcPr>
          <w:p w14:paraId="6440EE0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-1.859</w:t>
            </w:r>
          </w:p>
        </w:tc>
        <w:tc>
          <w:tcPr>
            <w:tcW w:w="1030" w:type="dxa"/>
            <w:tcBorders>
              <w:top w:val="nil"/>
              <w:left w:val="nil"/>
              <w:bottom w:val="nil"/>
              <w:right w:val="nil"/>
            </w:tcBorders>
            <w:shd w:val="clear" w:color="000000" w:fill="FFFFFF"/>
            <w:noWrap/>
            <w:vAlign w:val="bottom"/>
            <w:hideMark/>
          </w:tcPr>
          <w:p w14:paraId="29F794A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2.886</w:t>
            </w:r>
          </w:p>
        </w:tc>
        <w:tc>
          <w:tcPr>
            <w:tcW w:w="1090" w:type="dxa"/>
            <w:tcBorders>
              <w:top w:val="nil"/>
              <w:left w:val="nil"/>
              <w:bottom w:val="nil"/>
              <w:right w:val="nil"/>
            </w:tcBorders>
            <w:shd w:val="clear" w:color="000000" w:fill="FFFFFF"/>
            <w:noWrap/>
            <w:vAlign w:val="bottom"/>
            <w:hideMark/>
          </w:tcPr>
          <w:p w14:paraId="1A0D860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-8.130</w:t>
            </w:r>
          </w:p>
        </w:tc>
        <w:tc>
          <w:tcPr>
            <w:tcW w:w="1090" w:type="dxa"/>
            <w:tcBorders>
              <w:top w:val="nil"/>
              <w:left w:val="nil"/>
              <w:bottom w:val="nil"/>
              <w:right w:val="nil"/>
            </w:tcBorders>
            <w:shd w:val="clear" w:color="000000" w:fill="FFFFFF"/>
            <w:noWrap/>
            <w:vAlign w:val="bottom"/>
            <w:hideMark/>
          </w:tcPr>
          <w:p w14:paraId="13DCAF5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7.833</w:t>
            </w:r>
          </w:p>
        </w:tc>
        <w:tc>
          <w:tcPr>
            <w:tcW w:w="956" w:type="dxa"/>
            <w:tcBorders>
              <w:top w:val="nil"/>
              <w:left w:val="nil"/>
              <w:bottom w:val="nil"/>
              <w:right w:val="nil"/>
            </w:tcBorders>
            <w:shd w:val="clear" w:color="000000" w:fill="FFFFFF"/>
            <w:noWrap/>
            <w:vAlign w:val="bottom"/>
            <w:hideMark/>
          </w:tcPr>
          <w:p w14:paraId="143E5CF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1993-Q1</w:t>
            </w:r>
          </w:p>
        </w:tc>
        <w:tc>
          <w:tcPr>
            <w:tcW w:w="956" w:type="dxa"/>
            <w:tcBorders>
              <w:top w:val="nil"/>
              <w:left w:val="nil"/>
              <w:bottom w:val="nil"/>
              <w:right w:val="nil"/>
            </w:tcBorders>
            <w:shd w:val="clear" w:color="000000" w:fill="FFFFFF"/>
            <w:noWrap/>
            <w:vAlign w:val="bottom"/>
            <w:hideMark/>
          </w:tcPr>
          <w:p w14:paraId="37804AF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4FC8AF2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128</w:t>
            </w:r>
          </w:p>
        </w:tc>
      </w:tr>
      <w:tr w:rsidR="00AE739C" w:rsidRPr="00935EAC" w14:paraId="5CFA77A7" w14:textId="77777777" w:rsidTr="0073265E">
        <w:trPr>
          <w:trHeight w:val="170"/>
        </w:trPr>
        <w:tc>
          <w:tcPr>
            <w:tcW w:w="960" w:type="dxa"/>
            <w:tcBorders>
              <w:top w:val="nil"/>
              <w:left w:val="nil"/>
              <w:bottom w:val="nil"/>
              <w:right w:val="nil"/>
            </w:tcBorders>
            <w:shd w:val="clear" w:color="000000" w:fill="FFFFFF"/>
            <w:noWrap/>
            <w:vAlign w:val="bottom"/>
            <w:hideMark/>
          </w:tcPr>
          <w:p w14:paraId="21932A7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21</w:t>
            </w:r>
          </w:p>
        </w:tc>
        <w:tc>
          <w:tcPr>
            <w:tcW w:w="2254" w:type="dxa"/>
            <w:tcBorders>
              <w:top w:val="nil"/>
              <w:left w:val="nil"/>
              <w:bottom w:val="nil"/>
              <w:right w:val="nil"/>
            </w:tcBorders>
            <w:shd w:val="clear" w:color="000000" w:fill="FFFFFF"/>
            <w:noWrap/>
            <w:vAlign w:val="bottom"/>
            <w:hideMark/>
          </w:tcPr>
          <w:p w14:paraId="25D06D0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Denmark</w:t>
            </w:r>
          </w:p>
        </w:tc>
        <w:tc>
          <w:tcPr>
            <w:tcW w:w="1090" w:type="dxa"/>
            <w:tcBorders>
              <w:top w:val="nil"/>
              <w:left w:val="nil"/>
              <w:bottom w:val="nil"/>
              <w:right w:val="nil"/>
            </w:tcBorders>
            <w:shd w:val="clear" w:color="000000" w:fill="FFFFFF"/>
            <w:noWrap/>
            <w:vAlign w:val="bottom"/>
            <w:hideMark/>
          </w:tcPr>
          <w:p w14:paraId="47F4351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2.720</w:t>
            </w:r>
          </w:p>
        </w:tc>
        <w:tc>
          <w:tcPr>
            <w:tcW w:w="1030" w:type="dxa"/>
            <w:tcBorders>
              <w:top w:val="nil"/>
              <w:left w:val="nil"/>
              <w:bottom w:val="nil"/>
              <w:right w:val="nil"/>
            </w:tcBorders>
            <w:shd w:val="clear" w:color="000000" w:fill="FFFFFF"/>
            <w:noWrap/>
            <w:vAlign w:val="bottom"/>
            <w:hideMark/>
          </w:tcPr>
          <w:p w14:paraId="7EA54AA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4.761</w:t>
            </w:r>
          </w:p>
        </w:tc>
        <w:tc>
          <w:tcPr>
            <w:tcW w:w="1090" w:type="dxa"/>
            <w:tcBorders>
              <w:top w:val="nil"/>
              <w:left w:val="nil"/>
              <w:bottom w:val="nil"/>
              <w:right w:val="nil"/>
            </w:tcBorders>
            <w:shd w:val="clear" w:color="000000" w:fill="FFFFFF"/>
            <w:noWrap/>
            <w:vAlign w:val="bottom"/>
            <w:hideMark/>
          </w:tcPr>
          <w:p w14:paraId="262DFBA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-6.155</w:t>
            </w:r>
          </w:p>
        </w:tc>
        <w:tc>
          <w:tcPr>
            <w:tcW w:w="1090" w:type="dxa"/>
            <w:tcBorders>
              <w:top w:val="nil"/>
              <w:left w:val="nil"/>
              <w:bottom w:val="nil"/>
              <w:right w:val="nil"/>
            </w:tcBorders>
            <w:shd w:val="clear" w:color="000000" w:fill="FFFFFF"/>
            <w:noWrap/>
            <w:vAlign w:val="bottom"/>
            <w:hideMark/>
          </w:tcPr>
          <w:p w14:paraId="4D1D045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16.506</w:t>
            </w:r>
          </w:p>
        </w:tc>
        <w:tc>
          <w:tcPr>
            <w:tcW w:w="956" w:type="dxa"/>
            <w:tcBorders>
              <w:top w:val="nil"/>
              <w:left w:val="nil"/>
              <w:bottom w:val="nil"/>
              <w:right w:val="nil"/>
            </w:tcBorders>
            <w:shd w:val="clear" w:color="000000" w:fill="FFFFFF"/>
            <w:noWrap/>
            <w:vAlign w:val="bottom"/>
            <w:hideMark/>
          </w:tcPr>
          <w:p w14:paraId="6D3D994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1977-Q1</w:t>
            </w:r>
          </w:p>
        </w:tc>
        <w:tc>
          <w:tcPr>
            <w:tcW w:w="956" w:type="dxa"/>
            <w:tcBorders>
              <w:top w:val="nil"/>
              <w:left w:val="nil"/>
              <w:bottom w:val="nil"/>
              <w:right w:val="nil"/>
            </w:tcBorders>
            <w:shd w:val="clear" w:color="000000" w:fill="FFFFFF"/>
            <w:noWrap/>
            <w:vAlign w:val="bottom"/>
            <w:hideMark/>
          </w:tcPr>
          <w:p w14:paraId="6F2D76A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2025-Q1</w:t>
            </w:r>
          </w:p>
        </w:tc>
        <w:tc>
          <w:tcPr>
            <w:tcW w:w="574" w:type="dxa"/>
            <w:tcBorders>
              <w:top w:val="nil"/>
              <w:left w:val="nil"/>
              <w:bottom w:val="nil"/>
              <w:right w:val="nil"/>
            </w:tcBorders>
            <w:shd w:val="clear" w:color="000000" w:fill="FFFFFF"/>
            <w:noWrap/>
            <w:vAlign w:val="bottom"/>
            <w:hideMark/>
          </w:tcPr>
          <w:p w14:paraId="3E2CEFD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193</w:t>
            </w:r>
          </w:p>
        </w:tc>
      </w:tr>
      <w:tr w:rsidR="00AE739C" w:rsidRPr="00935EAC" w14:paraId="506E5DD9" w14:textId="77777777" w:rsidTr="0073265E">
        <w:trPr>
          <w:trHeight w:val="170"/>
        </w:trPr>
        <w:tc>
          <w:tcPr>
            <w:tcW w:w="960" w:type="dxa"/>
            <w:tcBorders>
              <w:top w:val="nil"/>
              <w:left w:val="nil"/>
              <w:bottom w:val="nil"/>
              <w:right w:val="nil"/>
            </w:tcBorders>
            <w:shd w:val="clear" w:color="000000" w:fill="FFFFFF"/>
            <w:noWrap/>
            <w:vAlign w:val="bottom"/>
            <w:hideMark/>
          </w:tcPr>
          <w:p w14:paraId="0FCD2C5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22</w:t>
            </w:r>
          </w:p>
        </w:tc>
        <w:tc>
          <w:tcPr>
            <w:tcW w:w="2254" w:type="dxa"/>
            <w:tcBorders>
              <w:top w:val="nil"/>
              <w:left w:val="nil"/>
              <w:bottom w:val="nil"/>
              <w:right w:val="nil"/>
            </w:tcBorders>
            <w:shd w:val="clear" w:color="000000" w:fill="FFFFFF"/>
            <w:noWrap/>
            <w:vAlign w:val="bottom"/>
            <w:hideMark/>
          </w:tcPr>
          <w:p w14:paraId="4D2BDEC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El Salvador</w:t>
            </w:r>
          </w:p>
        </w:tc>
        <w:tc>
          <w:tcPr>
            <w:tcW w:w="1090" w:type="dxa"/>
            <w:tcBorders>
              <w:top w:val="nil"/>
              <w:left w:val="nil"/>
              <w:bottom w:val="nil"/>
              <w:right w:val="nil"/>
            </w:tcBorders>
            <w:shd w:val="clear" w:color="000000" w:fill="FFFFFF"/>
            <w:noWrap/>
            <w:vAlign w:val="bottom"/>
            <w:hideMark/>
          </w:tcPr>
          <w:p w14:paraId="270F315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-3.609</w:t>
            </w:r>
          </w:p>
        </w:tc>
        <w:tc>
          <w:tcPr>
            <w:tcW w:w="1030" w:type="dxa"/>
            <w:tcBorders>
              <w:top w:val="nil"/>
              <w:left w:val="nil"/>
              <w:bottom w:val="nil"/>
              <w:right w:val="nil"/>
            </w:tcBorders>
            <w:shd w:val="clear" w:color="000000" w:fill="FFFFFF"/>
            <w:noWrap/>
            <w:vAlign w:val="bottom"/>
            <w:hideMark/>
          </w:tcPr>
          <w:p w14:paraId="0CE4D2C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2.227</w:t>
            </w:r>
          </w:p>
        </w:tc>
        <w:tc>
          <w:tcPr>
            <w:tcW w:w="1090" w:type="dxa"/>
            <w:tcBorders>
              <w:top w:val="nil"/>
              <w:left w:val="nil"/>
              <w:bottom w:val="nil"/>
              <w:right w:val="nil"/>
            </w:tcBorders>
            <w:shd w:val="clear" w:color="000000" w:fill="FFFFFF"/>
            <w:noWrap/>
            <w:vAlign w:val="bottom"/>
            <w:hideMark/>
          </w:tcPr>
          <w:p w14:paraId="41765BD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-8.230</w:t>
            </w:r>
          </w:p>
        </w:tc>
        <w:tc>
          <w:tcPr>
            <w:tcW w:w="1090" w:type="dxa"/>
            <w:tcBorders>
              <w:top w:val="nil"/>
              <w:left w:val="nil"/>
              <w:bottom w:val="nil"/>
              <w:right w:val="nil"/>
            </w:tcBorders>
            <w:shd w:val="clear" w:color="000000" w:fill="FFFFFF"/>
            <w:noWrap/>
            <w:vAlign w:val="bottom"/>
            <w:hideMark/>
          </w:tcPr>
          <w:p w14:paraId="74AEB24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1.285</w:t>
            </w:r>
          </w:p>
        </w:tc>
        <w:tc>
          <w:tcPr>
            <w:tcW w:w="956" w:type="dxa"/>
            <w:tcBorders>
              <w:top w:val="nil"/>
              <w:left w:val="nil"/>
              <w:bottom w:val="nil"/>
              <w:right w:val="nil"/>
            </w:tcBorders>
            <w:shd w:val="clear" w:color="000000" w:fill="FFFFFF"/>
            <w:noWrap/>
            <w:vAlign w:val="bottom"/>
            <w:hideMark/>
          </w:tcPr>
          <w:p w14:paraId="6CFB3AB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1999-Q1</w:t>
            </w:r>
          </w:p>
        </w:tc>
        <w:tc>
          <w:tcPr>
            <w:tcW w:w="956" w:type="dxa"/>
            <w:tcBorders>
              <w:top w:val="nil"/>
              <w:left w:val="nil"/>
              <w:bottom w:val="nil"/>
              <w:right w:val="nil"/>
            </w:tcBorders>
            <w:shd w:val="clear" w:color="000000" w:fill="FFFFFF"/>
            <w:noWrap/>
            <w:vAlign w:val="bottom"/>
            <w:hideMark/>
          </w:tcPr>
          <w:p w14:paraId="7D0788E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2020-Q1</w:t>
            </w:r>
          </w:p>
        </w:tc>
        <w:tc>
          <w:tcPr>
            <w:tcW w:w="574" w:type="dxa"/>
            <w:tcBorders>
              <w:top w:val="nil"/>
              <w:left w:val="nil"/>
              <w:bottom w:val="nil"/>
              <w:right w:val="nil"/>
            </w:tcBorders>
            <w:shd w:val="clear" w:color="000000" w:fill="FFFFFF"/>
            <w:noWrap/>
            <w:vAlign w:val="bottom"/>
            <w:hideMark/>
          </w:tcPr>
          <w:p w14:paraId="251C798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85</w:t>
            </w:r>
          </w:p>
        </w:tc>
      </w:tr>
      <w:tr w:rsidR="00AE739C" w:rsidRPr="00935EAC" w14:paraId="1839986F" w14:textId="77777777" w:rsidTr="0073265E">
        <w:trPr>
          <w:trHeight w:val="170"/>
        </w:trPr>
        <w:tc>
          <w:tcPr>
            <w:tcW w:w="960" w:type="dxa"/>
            <w:tcBorders>
              <w:top w:val="nil"/>
              <w:left w:val="nil"/>
              <w:bottom w:val="nil"/>
              <w:right w:val="nil"/>
            </w:tcBorders>
            <w:shd w:val="clear" w:color="000000" w:fill="FFFFFF"/>
            <w:noWrap/>
            <w:vAlign w:val="bottom"/>
            <w:hideMark/>
          </w:tcPr>
          <w:p w14:paraId="35131DB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23</w:t>
            </w:r>
          </w:p>
        </w:tc>
        <w:tc>
          <w:tcPr>
            <w:tcW w:w="2254" w:type="dxa"/>
            <w:tcBorders>
              <w:top w:val="nil"/>
              <w:left w:val="nil"/>
              <w:bottom w:val="nil"/>
              <w:right w:val="nil"/>
            </w:tcBorders>
            <w:shd w:val="clear" w:color="000000" w:fill="FFFFFF"/>
            <w:noWrap/>
            <w:vAlign w:val="bottom"/>
            <w:hideMark/>
          </w:tcPr>
          <w:p w14:paraId="3967745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Estonia</w:t>
            </w:r>
          </w:p>
        </w:tc>
        <w:tc>
          <w:tcPr>
            <w:tcW w:w="1090" w:type="dxa"/>
            <w:tcBorders>
              <w:top w:val="nil"/>
              <w:left w:val="nil"/>
              <w:bottom w:val="nil"/>
              <w:right w:val="nil"/>
            </w:tcBorders>
            <w:shd w:val="clear" w:color="000000" w:fill="FFFFFF"/>
            <w:noWrap/>
            <w:vAlign w:val="bottom"/>
            <w:hideMark/>
          </w:tcPr>
          <w:p w14:paraId="50E7AB7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-4.348</w:t>
            </w:r>
          </w:p>
        </w:tc>
        <w:tc>
          <w:tcPr>
            <w:tcW w:w="1030" w:type="dxa"/>
            <w:tcBorders>
              <w:top w:val="nil"/>
              <w:left w:val="nil"/>
              <w:bottom w:val="nil"/>
              <w:right w:val="nil"/>
            </w:tcBorders>
            <w:shd w:val="clear" w:color="000000" w:fill="FFFFFF"/>
            <w:noWrap/>
            <w:vAlign w:val="bottom"/>
            <w:hideMark/>
          </w:tcPr>
          <w:p w14:paraId="62A9B6F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5.910</w:t>
            </w:r>
          </w:p>
        </w:tc>
        <w:tc>
          <w:tcPr>
            <w:tcW w:w="1090" w:type="dxa"/>
            <w:tcBorders>
              <w:top w:val="nil"/>
              <w:left w:val="nil"/>
              <w:bottom w:val="nil"/>
              <w:right w:val="nil"/>
            </w:tcBorders>
            <w:shd w:val="clear" w:color="000000" w:fill="FFFFFF"/>
            <w:noWrap/>
            <w:vAlign w:val="bottom"/>
            <w:hideMark/>
          </w:tcPr>
          <w:p w14:paraId="23DE020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-18.793</w:t>
            </w:r>
          </w:p>
        </w:tc>
        <w:tc>
          <w:tcPr>
            <w:tcW w:w="1090" w:type="dxa"/>
            <w:tcBorders>
              <w:top w:val="nil"/>
              <w:left w:val="nil"/>
              <w:bottom w:val="nil"/>
              <w:right w:val="nil"/>
            </w:tcBorders>
            <w:shd w:val="clear" w:color="000000" w:fill="FFFFFF"/>
            <w:noWrap/>
            <w:vAlign w:val="bottom"/>
            <w:hideMark/>
          </w:tcPr>
          <w:p w14:paraId="17013CA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6.571</w:t>
            </w:r>
          </w:p>
        </w:tc>
        <w:tc>
          <w:tcPr>
            <w:tcW w:w="956" w:type="dxa"/>
            <w:tcBorders>
              <w:top w:val="nil"/>
              <w:left w:val="nil"/>
              <w:bottom w:val="nil"/>
              <w:right w:val="nil"/>
            </w:tcBorders>
            <w:shd w:val="clear" w:color="000000" w:fill="FFFFFF"/>
            <w:noWrap/>
            <w:vAlign w:val="bottom"/>
            <w:hideMark/>
          </w:tcPr>
          <w:p w14:paraId="2581D38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1993-Q1</w:t>
            </w:r>
          </w:p>
        </w:tc>
        <w:tc>
          <w:tcPr>
            <w:tcW w:w="956" w:type="dxa"/>
            <w:tcBorders>
              <w:top w:val="nil"/>
              <w:left w:val="nil"/>
              <w:bottom w:val="nil"/>
              <w:right w:val="nil"/>
            </w:tcBorders>
            <w:shd w:val="clear" w:color="000000" w:fill="FFFFFF"/>
            <w:noWrap/>
            <w:vAlign w:val="bottom"/>
            <w:hideMark/>
          </w:tcPr>
          <w:p w14:paraId="009BABB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6F18747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128</w:t>
            </w:r>
          </w:p>
        </w:tc>
      </w:tr>
      <w:tr w:rsidR="00AE739C" w:rsidRPr="00935EAC" w14:paraId="7DC84ED2" w14:textId="77777777" w:rsidTr="0073265E">
        <w:trPr>
          <w:trHeight w:val="170"/>
        </w:trPr>
        <w:tc>
          <w:tcPr>
            <w:tcW w:w="960" w:type="dxa"/>
            <w:tcBorders>
              <w:top w:val="nil"/>
              <w:left w:val="nil"/>
              <w:bottom w:val="nil"/>
              <w:right w:val="nil"/>
            </w:tcBorders>
            <w:shd w:val="clear" w:color="000000" w:fill="FFFFFF"/>
            <w:noWrap/>
            <w:vAlign w:val="bottom"/>
            <w:hideMark/>
          </w:tcPr>
          <w:p w14:paraId="7499A22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24</w:t>
            </w:r>
          </w:p>
        </w:tc>
        <w:tc>
          <w:tcPr>
            <w:tcW w:w="2254" w:type="dxa"/>
            <w:tcBorders>
              <w:top w:val="nil"/>
              <w:left w:val="nil"/>
              <w:bottom w:val="nil"/>
              <w:right w:val="nil"/>
            </w:tcBorders>
            <w:shd w:val="clear" w:color="000000" w:fill="FFFFFF"/>
            <w:noWrap/>
            <w:vAlign w:val="bottom"/>
            <w:hideMark/>
          </w:tcPr>
          <w:p w14:paraId="44EF9FF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Finland</w:t>
            </w:r>
          </w:p>
        </w:tc>
        <w:tc>
          <w:tcPr>
            <w:tcW w:w="1090" w:type="dxa"/>
            <w:tcBorders>
              <w:top w:val="nil"/>
              <w:left w:val="nil"/>
              <w:bottom w:val="nil"/>
              <w:right w:val="nil"/>
            </w:tcBorders>
            <w:shd w:val="clear" w:color="000000" w:fill="FFFFFF"/>
            <w:noWrap/>
            <w:vAlign w:val="bottom"/>
            <w:hideMark/>
          </w:tcPr>
          <w:p w14:paraId="37D8BE3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0.438</w:t>
            </w:r>
          </w:p>
        </w:tc>
        <w:tc>
          <w:tcPr>
            <w:tcW w:w="1030" w:type="dxa"/>
            <w:tcBorders>
              <w:top w:val="nil"/>
              <w:left w:val="nil"/>
              <w:bottom w:val="nil"/>
              <w:right w:val="nil"/>
            </w:tcBorders>
            <w:shd w:val="clear" w:color="000000" w:fill="FFFFFF"/>
            <w:noWrap/>
            <w:vAlign w:val="bottom"/>
            <w:hideMark/>
          </w:tcPr>
          <w:p w14:paraId="11071F8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3.518</w:t>
            </w:r>
          </w:p>
        </w:tc>
        <w:tc>
          <w:tcPr>
            <w:tcW w:w="1090" w:type="dxa"/>
            <w:tcBorders>
              <w:top w:val="nil"/>
              <w:left w:val="nil"/>
              <w:bottom w:val="nil"/>
              <w:right w:val="nil"/>
            </w:tcBorders>
            <w:shd w:val="clear" w:color="000000" w:fill="FFFFFF"/>
            <w:noWrap/>
            <w:vAlign w:val="bottom"/>
            <w:hideMark/>
          </w:tcPr>
          <w:p w14:paraId="5950363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-7.258</w:t>
            </w:r>
          </w:p>
        </w:tc>
        <w:tc>
          <w:tcPr>
            <w:tcW w:w="1090" w:type="dxa"/>
            <w:tcBorders>
              <w:top w:val="nil"/>
              <w:left w:val="nil"/>
              <w:bottom w:val="nil"/>
              <w:right w:val="nil"/>
            </w:tcBorders>
            <w:shd w:val="clear" w:color="000000" w:fill="FFFFFF"/>
            <w:noWrap/>
            <w:vAlign w:val="bottom"/>
            <w:hideMark/>
          </w:tcPr>
          <w:p w14:paraId="753C7EB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9.127</w:t>
            </w:r>
          </w:p>
        </w:tc>
        <w:tc>
          <w:tcPr>
            <w:tcW w:w="956" w:type="dxa"/>
            <w:tcBorders>
              <w:top w:val="nil"/>
              <w:left w:val="nil"/>
              <w:bottom w:val="nil"/>
              <w:right w:val="nil"/>
            </w:tcBorders>
            <w:shd w:val="clear" w:color="000000" w:fill="FFFFFF"/>
            <w:noWrap/>
            <w:vAlign w:val="bottom"/>
            <w:hideMark/>
          </w:tcPr>
          <w:p w14:paraId="2CD74A0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1975-Q1</w:t>
            </w:r>
          </w:p>
        </w:tc>
        <w:tc>
          <w:tcPr>
            <w:tcW w:w="956" w:type="dxa"/>
            <w:tcBorders>
              <w:top w:val="nil"/>
              <w:left w:val="nil"/>
              <w:bottom w:val="nil"/>
              <w:right w:val="nil"/>
            </w:tcBorders>
            <w:shd w:val="clear" w:color="000000" w:fill="FFFFFF"/>
            <w:noWrap/>
            <w:vAlign w:val="bottom"/>
            <w:hideMark/>
          </w:tcPr>
          <w:p w14:paraId="5A3F533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4A67738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200</w:t>
            </w:r>
          </w:p>
        </w:tc>
      </w:tr>
      <w:tr w:rsidR="00AE739C" w:rsidRPr="00935EAC" w14:paraId="2B3357F4" w14:textId="77777777" w:rsidTr="0073265E">
        <w:trPr>
          <w:trHeight w:val="170"/>
        </w:trPr>
        <w:tc>
          <w:tcPr>
            <w:tcW w:w="960" w:type="dxa"/>
            <w:tcBorders>
              <w:top w:val="nil"/>
              <w:left w:val="nil"/>
              <w:bottom w:val="nil"/>
              <w:right w:val="nil"/>
            </w:tcBorders>
            <w:shd w:val="clear" w:color="000000" w:fill="FFFFFF"/>
            <w:noWrap/>
            <w:vAlign w:val="bottom"/>
            <w:hideMark/>
          </w:tcPr>
          <w:p w14:paraId="0884B86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25</w:t>
            </w:r>
          </w:p>
        </w:tc>
        <w:tc>
          <w:tcPr>
            <w:tcW w:w="2254" w:type="dxa"/>
            <w:tcBorders>
              <w:top w:val="nil"/>
              <w:left w:val="nil"/>
              <w:bottom w:val="nil"/>
              <w:right w:val="nil"/>
            </w:tcBorders>
            <w:shd w:val="clear" w:color="000000" w:fill="FFFFFF"/>
            <w:noWrap/>
            <w:vAlign w:val="bottom"/>
            <w:hideMark/>
          </w:tcPr>
          <w:p w14:paraId="66A28F9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France</w:t>
            </w:r>
          </w:p>
        </w:tc>
        <w:tc>
          <w:tcPr>
            <w:tcW w:w="1090" w:type="dxa"/>
            <w:tcBorders>
              <w:top w:val="nil"/>
              <w:left w:val="nil"/>
              <w:bottom w:val="nil"/>
              <w:right w:val="nil"/>
            </w:tcBorders>
            <w:shd w:val="clear" w:color="000000" w:fill="FFFFFF"/>
            <w:noWrap/>
            <w:vAlign w:val="bottom"/>
            <w:hideMark/>
          </w:tcPr>
          <w:p w14:paraId="056BAE1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0.032</w:t>
            </w:r>
          </w:p>
        </w:tc>
        <w:tc>
          <w:tcPr>
            <w:tcW w:w="1030" w:type="dxa"/>
            <w:tcBorders>
              <w:top w:val="nil"/>
              <w:left w:val="nil"/>
              <w:bottom w:val="nil"/>
              <w:right w:val="nil"/>
            </w:tcBorders>
            <w:shd w:val="clear" w:color="000000" w:fill="FFFFFF"/>
            <w:noWrap/>
            <w:vAlign w:val="bottom"/>
            <w:hideMark/>
          </w:tcPr>
          <w:p w14:paraId="0F01484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1.190</w:t>
            </w:r>
          </w:p>
        </w:tc>
        <w:tc>
          <w:tcPr>
            <w:tcW w:w="1090" w:type="dxa"/>
            <w:tcBorders>
              <w:top w:val="nil"/>
              <w:left w:val="nil"/>
              <w:bottom w:val="nil"/>
              <w:right w:val="nil"/>
            </w:tcBorders>
            <w:shd w:val="clear" w:color="000000" w:fill="FFFFFF"/>
            <w:noWrap/>
            <w:vAlign w:val="bottom"/>
            <w:hideMark/>
          </w:tcPr>
          <w:p w14:paraId="3F3D67B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-3.910</w:t>
            </w:r>
          </w:p>
        </w:tc>
        <w:tc>
          <w:tcPr>
            <w:tcW w:w="1090" w:type="dxa"/>
            <w:tcBorders>
              <w:top w:val="nil"/>
              <w:left w:val="nil"/>
              <w:bottom w:val="nil"/>
              <w:right w:val="nil"/>
            </w:tcBorders>
            <w:shd w:val="clear" w:color="000000" w:fill="FFFFFF"/>
            <w:noWrap/>
            <w:vAlign w:val="bottom"/>
            <w:hideMark/>
          </w:tcPr>
          <w:p w14:paraId="31C08E4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3.756</w:t>
            </w:r>
          </w:p>
        </w:tc>
        <w:tc>
          <w:tcPr>
            <w:tcW w:w="956" w:type="dxa"/>
            <w:tcBorders>
              <w:top w:val="nil"/>
              <w:left w:val="nil"/>
              <w:bottom w:val="nil"/>
              <w:right w:val="nil"/>
            </w:tcBorders>
            <w:shd w:val="clear" w:color="000000" w:fill="FFFFFF"/>
            <w:noWrap/>
            <w:vAlign w:val="bottom"/>
            <w:hideMark/>
          </w:tcPr>
          <w:p w14:paraId="431E24F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1975-Q1</w:t>
            </w:r>
          </w:p>
        </w:tc>
        <w:tc>
          <w:tcPr>
            <w:tcW w:w="956" w:type="dxa"/>
            <w:tcBorders>
              <w:top w:val="nil"/>
              <w:left w:val="nil"/>
              <w:bottom w:val="nil"/>
              <w:right w:val="nil"/>
            </w:tcBorders>
            <w:shd w:val="clear" w:color="000000" w:fill="FFFFFF"/>
            <w:noWrap/>
            <w:vAlign w:val="bottom"/>
            <w:hideMark/>
          </w:tcPr>
          <w:p w14:paraId="767DBB6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508C234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200</w:t>
            </w:r>
          </w:p>
        </w:tc>
      </w:tr>
      <w:tr w:rsidR="00AE739C" w:rsidRPr="00935EAC" w14:paraId="5F8E85F9" w14:textId="77777777" w:rsidTr="0073265E">
        <w:trPr>
          <w:trHeight w:val="170"/>
        </w:trPr>
        <w:tc>
          <w:tcPr>
            <w:tcW w:w="960" w:type="dxa"/>
            <w:tcBorders>
              <w:top w:val="nil"/>
              <w:left w:val="nil"/>
              <w:bottom w:val="nil"/>
              <w:right w:val="nil"/>
            </w:tcBorders>
            <w:shd w:val="clear" w:color="000000" w:fill="FFFFFF"/>
            <w:noWrap/>
            <w:vAlign w:val="bottom"/>
            <w:hideMark/>
          </w:tcPr>
          <w:p w14:paraId="6BC205B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26</w:t>
            </w:r>
          </w:p>
        </w:tc>
        <w:tc>
          <w:tcPr>
            <w:tcW w:w="2254" w:type="dxa"/>
            <w:tcBorders>
              <w:top w:val="nil"/>
              <w:left w:val="nil"/>
              <w:bottom w:val="nil"/>
              <w:right w:val="nil"/>
            </w:tcBorders>
            <w:shd w:val="clear" w:color="000000" w:fill="FFFFFF"/>
            <w:noWrap/>
            <w:vAlign w:val="bottom"/>
            <w:hideMark/>
          </w:tcPr>
          <w:p w14:paraId="0D61B0F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Georgia</w:t>
            </w:r>
          </w:p>
        </w:tc>
        <w:tc>
          <w:tcPr>
            <w:tcW w:w="1090" w:type="dxa"/>
            <w:tcBorders>
              <w:top w:val="nil"/>
              <w:left w:val="nil"/>
              <w:bottom w:val="nil"/>
              <w:right w:val="nil"/>
            </w:tcBorders>
            <w:shd w:val="clear" w:color="000000" w:fill="FFFFFF"/>
            <w:noWrap/>
            <w:vAlign w:val="bottom"/>
            <w:hideMark/>
          </w:tcPr>
          <w:p w14:paraId="77CEE73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-10.901</w:t>
            </w:r>
          </w:p>
        </w:tc>
        <w:tc>
          <w:tcPr>
            <w:tcW w:w="1030" w:type="dxa"/>
            <w:tcBorders>
              <w:top w:val="nil"/>
              <w:left w:val="nil"/>
              <w:bottom w:val="nil"/>
              <w:right w:val="nil"/>
            </w:tcBorders>
            <w:shd w:val="clear" w:color="000000" w:fill="FFFFFF"/>
            <w:noWrap/>
            <w:vAlign w:val="bottom"/>
            <w:hideMark/>
          </w:tcPr>
          <w:p w14:paraId="57883F7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4.915</w:t>
            </w:r>
          </w:p>
        </w:tc>
        <w:tc>
          <w:tcPr>
            <w:tcW w:w="1090" w:type="dxa"/>
            <w:tcBorders>
              <w:top w:val="nil"/>
              <w:left w:val="nil"/>
              <w:bottom w:val="nil"/>
              <w:right w:val="nil"/>
            </w:tcBorders>
            <w:shd w:val="clear" w:color="000000" w:fill="FFFFFF"/>
            <w:noWrap/>
            <w:vAlign w:val="bottom"/>
            <w:hideMark/>
          </w:tcPr>
          <w:p w14:paraId="20F8351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-29.074</w:t>
            </w:r>
          </w:p>
        </w:tc>
        <w:tc>
          <w:tcPr>
            <w:tcW w:w="1090" w:type="dxa"/>
            <w:tcBorders>
              <w:top w:val="nil"/>
              <w:left w:val="nil"/>
              <w:bottom w:val="nil"/>
              <w:right w:val="nil"/>
            </w:tcBorders>
            <w:shd w:val="clear" w:color="000000" w:fill="FFFFFF"/>
            <w:noWrap/>
            <w:vAlign w:val="bottom"/>
            <w:hideMark/>
          </w:tcPr>
          <w:p w14:paraId="6D1A74C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-3.763</w:t>
            </w:r>
          </w:p>
        </w:tc>
        <w:tc>
          <w:tcPr>
            <w:tcW w:w="956" w:type="dxa"/>
            <w:tcBorders>
              <w:top w:val="nil"/>
              <w:left w:val="nil"/>
              <w:bottom w:val="nil"/>
              <w:right w:val="nil"/>
            </w:tcBorders>
            <w:shd w:val="clear" w:color="000000" w:fill="FFFFFF"/>
            <w:noWrap/>
            <w:vAlign w:val="bottom"/>
            <w:hideMark/>
          </w:tcPr>
          <w:p w14:paraId="2AFF991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1997-Q1</w:t>
            </w:r>
          </w:p>
        </w:tc>
        <w:tc>
          <w:tcPr>
            <w:tcW w:w="956" w:type="dxa"/>
            <w:tcBorders>
              <w:top w:val="nil"/>
              <w:left w:val="nil"/>
              <w:bottom w:val="nil"/>
              <w:right w:val="nil"/>
            </w:tcBorders>
            <w:shd w:val="clear" w:color="000000" w:fill="FFFFFF"/>
            <w:noWrap/>
            <w:vAlign w:val="bottom"/>
            <w:hideMark/>
          </w:tcPr>
          <w:p w14:paraId="2AA0DF3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2020-Q1</w:t>
            </w:r>
          </w:p>
        </w:tc>
        <w:tc>
          <w:tcPr>
            <w:tcW w:w="574" w:type="dxa"/>
            <w:tcBorders>
              <w:top w:val="nil"/>
              <w:left w:val="nil"/>
              <w:bottom w:val="nil"/>
              <w:right w:val="nil"/>
            </w:tcBorders>
            <w:shd w:val="clear" w:color="000000" w:fill="FFFFFF"/>
            <w:noWrap/>
            <w:vAlign w:val="bottom"/>
            <w:hideMark/>
          </w:tcPr>
          <w:p w14:paraId="78A1503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93</w:t>
            </w:r>
          </w:p>
        </w:tc>
      </w:tr>
      <w:tr w:rsidR="00AE739C" w:rsidRPr="00935EAC" w14:paraId="27A7DF2E" w14:textId="77777777" w:rsidTr="0073265E">
        <w:trPr>
          <w:trHeight w:val="170"/>
        </w:trPr>
        <w:tc>
          <w:tcPr>
            <w:tcW w:w="960" w:type="dxa"/>
            <w:tcBorders>
              <w:top w:val="nil"/>
              <w:left w:val="nil"/>
              <w:bottom w:val="nil"/>
              <w:right w:val="nil"/>
            </w:tcBorders>
            <w:shd w:val="clear" w:color="000000" w:fill="FFFFFF"/>
            <w:noWrap/>
            <w:vAlign w:val="bottom"/>
            <w:hideMark/>
          </w:tcPr>
          <w:p w14:paraId="79B68C6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27</w:t>
            </w:r>
          </w:p>
        </w:tc>
        <w:tc>
          <w:tcPr>
            <w:tcW w:w="2254" w:type="dxa"/>
            <w:tcBorders>
              <w:top w:val="nil"/>
              <w:left w:val="nil"/>
              <w:bottom w:val="nil"/>
              <w:right w:val="nil"/>
            </w:tcBorders>
            <w:shd w:val="clear" w:color="000000" w:fill="FFFFFF"/>
            <w:noWrap/>
            <w:vAlign w:val="bottom"/>
            <w:hideMark/>
          </w:tcPr>
          <w:p w14:paraId="6B3446C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Germany</w:t>
            </w:r>
          </w:p>
        </w:tc>
        <w:tc>
          <w:tcPr>
            <w:tcW w:w="1090" w:type="dxa"/>
            <w:tcBorders>
              <w:top w:val="nil"/>
              <w:left w:val="nil"/>
              <w:bottom w:val="nil"/>
              <w:right w:val="nil"/>
            </w:tcBorders>
            <w:shd w:val="clear" w:color="000000" w:fill="FFFFFF"/>
            <w:noWrap/>
            <w:vAlign w:val="bottom"/>
            <w:hideMark/>
          </w:tcPr>
          <w:p w14:paraId="4F8CC6C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2.966</w:t>
            </w:r>
          </w:p>
        </w:tc>
        <w:tc>
          <w:tcPr>
            <w:tcW w:w="1030" w:type="dxa"/>
            <w:tcBorders>
              <w:top w:val="nil"/>
              <w:left w:val="nil"/>
              <w:bottom w:val="nil"/>
              <w:right w:val="nil"/>
            </w:tcBorders>
            <w:shd w:val="clear" w:color="000000" w:fill="FFFFFF"/>
            <w:noWrap/>
            <w:vAlign w:val="bottom"/>
            <w:hideMark/>
          </w:tcPr>
          <w:p w14:paraId="66B2322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3.350</w:t>
            </w:r>
          </w:p>
        </w:tc>
        <w:tc>
          <w:tcPr>
            <w:tcW w:w="1090" w:type="dxa"/>
            <w:tcBorders>
              <w:top w:val="nil"/>
              <w:left w:val="nil"/>
              <w:bottom w:val="nil"/>
              <w:right w:val="nil"/>
            </w:tcBorders>
            <w:shd w:val="clear" w:color="000000" w:fill="FFFFFF"/>
            <w:noWrap/>
            <w:vAlign w:val="bottom"/>
            <w:hideMark/>
          </w:tcPr>
          <w:p w14:paraId="5D3A0F8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-2.785</w:t>
            </w:r>
          </w:p>
        </w:tc>
        <w:tc>
          <w:tcPr>
            <w:tcW w:w="1090" w:type="dxa"/>
            <w:tcBorders>
              <w:top w:val="nil"/>
              <w:left w:val="nil"/>
              <w:bottom w:val="nil"/>
              <w:right w:val="nil"/>
            </w:tcBorders>
            <w:shd w:val="clear" w:color="000000" w:fill="FFFFFF"/>
            <w:noWrap/>
            <w:vAlign w:val="bottom"/>
            <w:hideMark/>
          </w:tcPr>
          <w:p w14:paraId="17728B5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9.892</w:t>
            </w:r>
          </w:p>
        </w:tc>
        <w:tc>
          <w:tcPr>
            <w:tcW w:w="956" w:type="dxa"/>
            <w:tcBorders>
              <w:top w:val="nil"/>
              <w:left w:val="nil"/>
              <w:bottom w:val="nil"/>
              <w:right w:val="nil"/>
            </w:tcBorders>
            <w:shd w:val="clear" w:color="000000" w:fill="FFFFFF"/>
            <w:noWrap/>
            <w:vAlign w:val="bottom"/>
            <w:hideMark/>
          </w:tcPr>
          <w:p w14:paraId="2057F4D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1971-Q1</w:t>
            </w:r>
          </w:p>
        </w:tc>
        <w:tc>
          <w:tcPr>
            <w:tcW w:w="956" w:type="dxa"/>
            <w:tcBorders>
              <w:top w:val="nil"/>
              <w:left w:val="nil"/>
              <w:bottom w:val="nil"/>
              <w:right w:val="nil"/>
            </w:tcBorders>
            <w:shd w:val="clear" w:color="000000" w:fill="FFFFFF"/>
            <w:noWrap/>
            <w:vAlign w:val="bottom"/>
            <w:hideMark/>
          </w:tcPr>
          <w:p w14:paraId="69581E4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748EDC5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216</w:t>
            </w:r>
          </w:p>
        </w:tc>
      </w:tr>
      <w:tr w:rsidR="00AE739C" w:rsidRPr="00935EAC" w14:paraId="60112619" w14:textId="77777777" w:rsidTr="0073265E">
        <w:trPr>
          <w:trHeight w:val="170"/>
        </w:trPr>
        <w:tc>
          <w:tcPr>
            <w:tcW w:w="960" w:type="dxa"/>
            <w:tcBorders>
              <w:top w:val="nil"/>
              <w:left w:val="nil"/>
              <w:bottom w:val="nil"/>
              <w:right w:val="nil"/>
            </w:tcBorders>
            <w:shd w:val="clear" w:color="000000" w:fill="FFFFFF"/>
            <w:noWrap/>
            <w:vAlign w:val="bottom"/>
            <w:hideMark/>
          </w:tcPr>
          <w:p w14:paraId="6E29BF0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28</w:t>
            </w:r>
          </w:p>
        </w:tc>
        <w:tc>
          <w:tcPr>
            <w:tcW w:w="2254" w:type="dxa"/>
            <w:tcBorders>
              <w:top w:val="nil"/>
              <w:left w:val="nil"/>
              <w:bottom w:val="nil"/>
              <w:right w:val="nil"/>
            </w:tcBorders>
            <w:shd w:val="clear" w:color="000000" w:fill="FFFFFF"/>
            <w:noWrap/>
            <w:vAlign w:val="bottom"/>
            <w:hideMark/>
          </w:tcPr>
          <w:p w14:paraId="5291544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Greece</w:t>
            </w:r>
          </w:p>
        </w:tc>
        <w:tc>
          <w:tcPr>
            <w:tcW w:w="1090" w:type="dxa"/>
            <w:tcBorders>
              <w:top w:val="nil"/>
              <w:left w:val="nil"/>
              <w:bottom w:val="nil"/>
              <w:right w:val="nil"/>
            </w:tcBorders>
            <w:shd w:val="clear" w:color="000000" w:fill="FFFFFF"/>
            <w:noWrap/>
            <w:vAlign w:val="bottom"/>
            <w:hideMark/>
          </w:tcPr>
          <w:p w14:paraId="2C5B8D4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-5.016</w:t>
            </w:r>
          </w:p>
        </w:tc>
        <w:tc>
          <w:tcPr>
            <w:tcW w:w="1030" w:type="dxa"/>
            <w:tcBorders>
              <w:top w:val="nil"/>
              <w:left w:val="nil"/>
              <w:bottom w:val="nil"/>
              <w:right w:val="nil"/>
            </w:tcBorders>
            <w:shd w:val="clear" w:color="000000" w:fill="FFFFFF"/>
            <w:noWrap/>
            <w:vAlign w:val="bottom"/>
            <w:hideMark/>
          </w:tcPr>
          <w:p w14:paraId="4F48847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3.806</w:t>
            </w:r>
          </w:p>
        </w:tc>
        <w:tc>
          <w:tcPr>
            <w:tcW w:w="1090" w:type="dxa"/>
            <w:tcBorders>
              <w:top w:val="nil"/>
              <w:left w:val="nil"/>
              <w:bottom w:val="nil"/>
              <w:right w:val="nil"/>
            </w:tcBorders>
            <w:shd w:val="clear" w:color="000000" w:fill="FFFFFF"/>
            <w:noWrap/>
            <w:vAlign w:val="bottom"/>
            <w:hideMark/>
          </w:tcPr>
          <w:p w14:paraId="2C0E734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-16.156</w:t>
            </w:r>
          </w:p>
        </w:tc>
        <w:tc>
          <w:tcPr>
            <w:tcW w:w="1090" w:type="dxa"/>
            <w:tcBorders>
              <w:top w:val="nil"/>
              <w:left w:val="nil"/>
              <w:bottom w:val="nil"/>
              <w:right w:val="nil"/>
            </w:tcBorders>
            <w:shd w:val="clear" w:color="000000" w:fill="FFFFFF"/>
            <w:noWrap/>
            <w:vAlign w:val="bottom"/>
            <w:hideMark/>
          </w:tcPr>
          <w:p w14:paraId="4168CDB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2.881</w:t>
            </w:r>
          </w:p>
        </w:tc>
        <w:tc>
          <w:tcPr>
            <w:tcW w:w="956" w:type="dxa"/>
            <w:tcBorders>
              <w:top w:val="nil"/>
              <w:left w:val="nil"/>
              <w:bottom w:val="nil"/>
              <w:right w:val="nil"/>
            </w:tcBorders>
            <w:shd w:val="clear" w:color="000000" w:fill="FFFFFF"/>
            <w:noWrap/>
            <w:vAlign w:val="bottom"/>
            <w:hideMark/>
          </w:tcPr>
          <w:p w14:paraId="6CA8F9C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1976-Q1</w:t>
            </w:r>
          </w:p>
        </w:tc>
        <w:tc>
          <w:tcPr>
            <w:tcW w:w="956" w:type="dxa"/>
            <w:tcBorders>
              <w:top w:val="nil"/>
              <w:left w:val="nil"/>
              <w:bottom w:val="nil"/>
              <w:right w:val="nil"/>
            </w:tcBorders>
            <w:shd w:val="clear" w:color="000000" w:fill="FFFFFF"/>
            <w:noWrap/>
            <w:vAlign w:val="bottom"/>
            <w:hideMark/>
          </w:tcPr>
          <w:p w14:paraId="2982999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124AF12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196</w:t>
            </w:r>
          </w:p>
        </w:tc>
      </w:tr>
      <w:tr w:rsidR="00AE739C" w:rsidRPr="00935EAC" w14:paraId="5A2D545F" w14:textId="77777777" w:rsidTr="0073265E">
        <w:trPr>
          <w:trHeight w:val="170"/>
        </w:trPr>
        <w:tc>
          <w:tcPr>
            <w:tcW w:w="960" w:type="dxa"/>
            <w:tcBorders>
              <w:top w:val="nil"/>
              <w:left w:val="nil"/>
              <w:bottom w:val="nil"/>
              <w:right w:val="nil"/>
            </w:tcBorders>
            <w:shd w:val="clear" w:color="000000" w:fill="FFFFFF"/>
            <w:noWrap/>
            <w:vAlign w:val="bottom"/>
            <w:hideMark/>
          </w:tcPr>
          <w:p w14:paraId="0CEF863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29</w:t>
            </w:r>
          </w:p>
        </w:tc>
        <w:tc>
          <w:tcPr>
            <w:tcW w:w="2254" w:type="dxa"/>
            <w:tcBorders>
              <w:top w:val="nil"/>
              <w:left w:val="nil"/>
              <w:bottom w:val="nil"/>
              <w:right w:val="nil"/>
            </w:tcBorders>
            <w:shd w:val="clear" w:color="000000" w:fill="FFFFFF"/>
            <w:noWrap/>
            <w:vAlign w:val="bottom"/>
            <w:hideMark/>
          </w:tcPr>
          <w:p w14:paraId="5BFDC75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Guatemala</w:t>
            </w:r>
          </w:p>
        </w:tc>
        <w:tc>
          <w:tcPr>
            <w:tcW w:w="1090" w:type="dxa"/>
            <w:tcBorders>
              <w:top w:val="nil"/>
              <w:left w:val="nil"/>
              <w:bottom w:val="nil"/>
              <w:right w:val="nil"/>
            </w:tcBorders>
            <w:shd w:val="clear" w:color="000000" w:fill="FFFFFF"/>
            <w:noWrap/>
            <w:vAlign w:val="bottom"/>
            <w:hideMark/>
          </w:tcPr>
          <w:p w14:paraId="31D57E7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-3.611</w:t>
            </w:r>
          </w:p>
        </w:tc>
        <w:tc>
          <w:tcPr>
            <w:tcW w:w="1030" w:type="dxa"/>
            <w:tcBorders>
              <w:top w:val="nil"/>
              <w:left w:val="nil"/>
              <w:bottom w:val="nil"/>
              <w:right w:val="nil"/>
            </w:tcBorders>
            <w:shd w:val="clear" w:color="000000" w:fill="FFFFFF"/>
            <w:noWrap/>
            <w:vAlign w:val="bottom"/>
            <w:hideMark/>
          </w:tcPr>
          <w:p w14:paraId="666192F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2.969</w:t>
            </w:r>
          </w:p>
        </w:tc>
        <w:tc>
          <w:tcPr>
            <w:tcW w:w="1090" w:type="dxa"/>
            <w:tcBorders>
              <w:top w:val="nil"/>
              <w:left w:val="nil"/>
              <w:bottom w:val="nil"/>
              <w:right w:val="nil"/>
            </w:tcBorders>
            <w:shd w:val="clear" w:color="000000" w:fill="FFFFFF"/>
            <w:noWrap/>
            <w:vAlign w:val="bottom"/>
            <w:hideMark/>
          </w:tcPr>
          <w:p w14:paraId="484FF19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-13.072</w:t>
            </w:r>
          </w:p>
        </w:tc>
        <w:tc>
          <w:tcPr>
            <w:tcW w:w="1090" w:type="dxa"/>
            <w:tcBorders>
              <w:top w:val="nil"/>
              <w:left w:val="nil"/>
              <w:bottom w:val="nil"/>
              <w:right w:val="nil"/>
            </w:tcBorders>
            <w:shd w:val="clear" w:color="000000" w:fill="FFFFFF"/>
            <w:noWrap/>
            <w:vAlign w:val="bottom"/>
            <w:hideMark/>
          </w:tcPr>
          <w:p w14:paraId="3DF4CC6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5.747</w:t>
            </w:r>
          </w:p>
        </w:tc>
        <w:tc>
          <w:tcPr>
            <w:tcW w:w="956" w:type="dxa"/>
            <w:tcBorders>
              <w:top w:val="nil"/>
              <w:left w:val="nil"/>
              <w:bottom w:val="nil"/>
              <w:right w:val="nil"/>
            </w:tcBorders>
            <w:shd w:val="clear" w:color="000000" w:fill="FFFFFF"/>
            <w:noWrap/>
            <w:vAlign w:val="bottom"/>
            <w:hideMark/>
          </w:tcPr>
          <w:p w14:paraId="735195D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1977-Q1</w:t>
            </w:r>
          </w:p>
        </w:tc>
        <w:tc>
          <w:tcPr>
            <w:tcW w:w="956" w:type="dxa"/>
            <w:tcBorders>
              <w:top w:val="nil"/>
              <w:left w:val="nil"/>
              <w:bottom w:val="nil"/>
              <w:right w:val="nil"/>
            </w:tcBorders>
            <w:shd w:val="clear" w:color="000000" w:fill="FFFFFF"/>
            <w:noWrap/>
            <w:vAlign w:val="bottom"/>
            <w:hideMark/>
          </w:tcPr>
          <w:p w14:paraId="1BEECCA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2020-Q1</w:t>
            </w:r>
          </w:p>
        </w:tc>
        <w:tc>
          <w:tcPr>
            <w:tcW w:w="574" w:type="dxa"/>
            <w:tcBorders>
              <w:top w:val="nil"/>
              <w:left w:val="nil"/>
              <w:bottom w:val="nil"/>
              <w:right w:val="nil"/>
            </w:tcBorders>
            <w:shd w:val="clear" w:color="000000" w:fill="FFFFFF"/>
            <w:noWrap/>
            <w:vAlign w:val="bottom"/>
            <w:hideMark/>
          </w:tcPr>
          <w:p w14:paraId="332CD67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173</w:t>
            </w:r>
          </w:p>
        </w:tc>
      </w:tr>
      <w:tr w:rsidR="00AE739C" w:rsidRPr="00935EAC" w14:paraId="54572755" w14:textId="77777777" w:rsidTr="0073265E">
        <w:trPr>
          <w:trHeight w:val="170"/>
        </w:trPr>
        <w:tc>
          <w:tcPr>
            <w:tcW w:w="960" w:type="dxa"/>
            <w:tcBorders>
              <w:top w:val="nil"/>
              <w:left w:val="nil"/>
              <w:bottom w:val="nil"/>
              <w:right w:val="nil"/>
            </w:tcBorders>
            <w:shd w:val="clear" w:color="000000" w:fill="FFFFFF"/>
            <w:noWrap/>
            <w:vAlign w:val="bottom"/>
            <w:hideMark/>
          </w:tcPr>
          <w:p w14:paraId="180AADF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30</w:t>
            </w:r>
          </w:p>
        </w:tc>
        <w:tc>
          <w:tcPr>
            <w:tcW w:w="2254" w:type="dxa"/>
            <w:tcBorders>
              <w:top w:val="nil"/>
              <w:left w:val="nil"/>
              <w:bottom w:val="nil"/>
              <w:right w:val="nil"/>
            </w:tcBorders>
            <w:shd w:val="clear" w:color="000000" w:fill="FFFFFF"/>
            <w:noWrap/>
            <w:vAlign w:val="bottom"/>
            <w:hideMark/>
          </w:tcPr>
          <w:p w14:paraId="6CC15E7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Hong Kong  China</w:t>
            </w:r>
          </w:p>
        </w:tc>
        <w:tc>
          <w:tcPr>
            <w:tcW w:w="1090" w:type="dxa"/>
            <w:tcBorders>
              <w:top w:val="nil"/>
              <w:left w:val="nil"/>
              <w:bottom w:val="nil"/>
              <w:right w:val="nil"/>
            </w:tcBorders>
            <w:shd w:val="clear" w:color="000000" w:fill="FFFFFF"/>
            <w:noWrap/>
            <w:vAlign w:val="bottom"/>
            <w:hideMark/>
          </w:tcPr>
          <w:p w14:paraId="51528EE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6.508</w:t>
            </w:r>
          </w:p>
        </w:tc>
        <w:tc>
          <w:tcPr>
            <w:tcW w:w="1030" w:type="dxa"/>
            <w:tcBorders>
              <w:top w:val="nil"/>
              <w:left w:val="nil"/>
              <w:bottom w:val="nil"/>
              <w:right w:val="nil"/>
            </w:tcBorders>
            <w:shd w:val="clear" w:color="000000" w:fill="FFFFFF"/>
            <w:noWrap/>
            <w:vAlign w:val="bottom"/>
            <w:hideMark/>
          </w:tcPr>
          <w:p w14:paraId="6740A48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4.436</w:t>
            </w:r>
          </w:p>
        </w:tc>
        <w:tc>
          <w:tcPr>
            <w:tcW w:w="1090" w:type="dxa"/>
            <w:tcBorders>
              <w:top w:val="nil"/>
              <w:left w:val="nil"/>
              <w:bottom w:val="nil"/>
              <w:right w:val="nil"/>
            </w:tcBorders>
            <w:shd w:val="clear" w:color="000000" w:fill="FFFFFF"/>
            <w:noWrap/>
            <w:vAlign w:val="bottom"/>
            <w:hideMark/>
          </w:tcPr>
          <w:p w14:paraId="35F5D2B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-1.650</w:t>
            </w:r>
          </w:p>
        </w:tc>
        <w:tc>
          <w:tcPr>
            <w:tcW w:w="1090" w:type="dxa"/>
            <w:tcBorders>
              <w:top w:val="nil"/>
              <w:left w:val="nil"/>
              <w:bottom w:val="nil"/>
              <w:right w:val="nil"/>
            </w:tcBorders>
            <w:shd w:val="clear" w:color="000000" w:fill="FFFFFF"/>
            <w:noWrap/>
            <w:vAlign w:val="bottom"/>
            <w:hideMark/>
          </w:tcPr>
          <w:p w14:paraId="32A1D5B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17.995</w:t>
            </w:r>
          </w:p>
        </w:tc>
        <w:tc>
          <w:tcPr>
            <w:tcW w:w="956" w:type="dxa"/>
            <w:tcBorders>
              <w:top w:val="nil"/>
              <w:left w:val="nil"/>
              <w:bottom w:val="nil"/>
              <w:right w:val="nil"/>
            </w:tcBorders>
            <w:shd w:val="clear" w:color="000000" w:fill="FFFFFF"/>
            <w:noWrap/>
            <w:vAlign w:val="bottom"/>
            <w:hideMark/>
          </w:tcPr>
          <w:p w14:paraId="059033B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1999-Q1</w:t>
            </w:r>
          </w:p>
        </w:tc>
        <w:tc>
          <w:tcPr>
            <w:tcW w:w="956" w:type="dxa"/>
            <w:tcBorders>
              <w:top w:val="nil"/>
              <w:left w:val="nil"/>
              <w:bottom w:val="nil"/>
              <w:right w:val="nil"/>
            </w:tcBorders>
            <w:shd w:val="clear" w:color="000000" w:fill="FFFFFF"/>
            <w:noWrap/>
            <w:vAlign w:val="bottom"/>
            <w:hideMark/>
          </w:tcPr>
          <w:p w14:paraId="081C6E0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2020-Q1</w:t>
            </w:r>
          </w:p>
        </w:tc>
        <w:tc>
          <w:tcPr>
            <w:tcW w:w="574" w:type="dxa"/>
            <w:tcBorders>
              <w:top w:val="nil"/>
              <w:left w:val="nil"/>
              <w:bottom w:val="nil"/>
              <w:right w:val="nil"/>
            </w:tcBorders>
            <w:shd w:val="clear" w:color="000000" w:fill="FFFFFF"/>
            <w:noWrap/>
            <w:vAlign w:val="bottom"/>
            <w:hideMark/>
          </w:tcPr>
          <w:p w14:paraId="45B538F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85</w:t>
            </w:r>
          </w:p>
        </w:tc>
      </w:tr>
      <w:tr w:rsidR="00AE739C" w:rsidRPr="00935EAC" w14:paraId="50D5CA8D" w14:textId="77777777" w:rsidTr="0073265E">
        <w:trPr>
          <w:trHeight w:val="170"/>
        </w:trPr>
        <w:tc>
          <w:tcPr>
            <w:tcW w:w="960" w:type="dxa"/>
            <w:tcBorders>
              <w:top w:val="nil"/>
              <w:left w:val="nil"/>
              <w:bottom w:val="nil"/>
              <w:right w:val="nil"/>
            </w:tcBorders>
            <w:shd w:val="clear" w:color="000000" w:fill="FFFFFF"/>
            <w:noWrap/>
            <w:vAlign w:val="bottom"/>
            <w:hideMark/>
          </w:tcPr>
          <w:p w14:paraId="2E8CCC4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31</w:t>
            </w:r>
          </w:p>
        </w:tc>
        <w:tc>
          <w:tcPr>
            <w:tcW w:w="2254" w:type="dxa"/>
            <w:tcBorders>
              <w:top w:val="nil"/>
              <w:left w:val="nil"/>
              <w:bottom w:val="nil"/>
              <w:right w:val="nil"/>
            </w:tcBorders>
            <w:shd w:val="clear" w:color="000000" w:fill="FFFFFF"/>
            <w:noWrap/>
            <w:vAlign w:val="bottom"/>
            <w:hideMark/>
          </w:tcPr>
          <w:p w14:paraId="6A85CF4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Hungary</w:t>
            </w:r>
          </w:p>
        </w:tc>
        <w:tc>
          <w:tcPr>
            <w:tcW w:w="1090" w:type="dxa"/>
            <w:tcBorders>
              <w:top w:val="nil"/>
              <w:left w:val="nil"/>
              <w:bottom w:val="nil"/>
              <w:right w:val="nil"/>
            </w:tcBorders>
            <w:shd w:val="clear" w:color="000000" w:fill="FFFFFF"/>
            <w:noWrap/>
            <w:vAlign w:val="bottom"/>
            <w:hideMark/>
          </w:tcPr>
          <w:p w14:paraId="2A6DD0E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-3.210</w:t>
            </w:r>
          </w:p>
        </w:tc>
        <w:tc>
          <w:tcPr>
            <w:tcW w:w="1030" w:type="dxa"/>
            <w:tcBorders>
              <w:top w:val="nil"/>
              <w:left w:val="nil"/>
              <w:bottom w:val="nil"/>
              <w:right w:val="nil"/>
            </w:tcBorders>
            <w:shd w:val="clear" w:color="000000" w:fill="FFFFFF"/>
            <w:noWrap/>
            <w:vAlign w:val="bottom"/>
            <w:hideMark/>
          </w:tcPr>
          <w:p w14:paraId="51F4F0C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4.855</w:t>
            </w:r>
          </w:p>
        </w:tc>
        <w:tc>
          <w:tcPr>
            <w:tcW w:w="1090" w:type="dxa"/>
            <w:tcBorders>
              <w:top w:val="nil"/>
              <w:left w:val="nil"/>
              <w:bottom w:val="nil"/>
              <w:right w:val="nil"/>
            </w:tcBorders>
            <w:shd w:val="clear" w:color="000000" w:fill="FFFFFF"/>
            <w:noWrap/>
            <w:vAlign w:val="bottom"/>
            <w:hideMark/>
          </w:tcPr>
          <w:p w14:paraId="3CC61CF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-17.736</w:t>
            </w:r>
          </w:p>
        </w:tc>
        <w:tc>
          <w:tcPr>
            <w:tcW w:w="1090" w:type="dxa"/>
            <w:tcBorders>
              <w:top w:val="nil"/>
              <w:left w:val="nil"/>
              <w:bottom w:val="nil"/>
              <w:right w:val="nil"/>
            </w:tcBorders>
            <w:shd w:val="clear" w:color="000000" w:fill="FFFFFF"/>
            <w:noWrap/>
            <w:vAlign w:val="bottom"/>
            <w:hideMark/>
          </w:tcPr>
          <w:p w14:paraId="1751462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5.338</w:t>
            </w:r>
          </w:p>
        </w:tc>
        <w:tc>
          <w:tcPr>
            <w:tcW w:w="956" w:type="dxa"/>
            <w:tcBorders>
              <w:top w:val="nil"/>
              <w:left w:val="nil"/>
              <w:bottom w:val="nil"/>
              <w:right w:val="nil"/>
            </w:tcBorders>
            <w:shd w:val="clear" w:color="000000" w:fill="FFFFFF"/>
            <w:noWrap/>
            <w:vAlign w:val="bottom"/>
            <w:hideMark/>
          </w:tcPr>
          <w:p w14:paraId="23FD48F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1989-Q4</w:t>
            </w:r>
          </w:p>
        </w:tc>
        <w:tc>
          <w:tcPr>
            <w:tcW w:w="956" w:type="dxa"/>
            <w:tcBorders>
              <w:top w:val="nil"/>
              <w:left w:val="nil"/>
              <w:bottom w:val="nil"/>
              <w:right w:val="nil"/>
            </w:tcBorders>
            <w:shd w:val="clear" w:color="000000" w:fill="FFFFFF"/>
            <w:noWrap/>
            <w:vAlign w:val="bottom"/>
            <w:hideMark/>
          </w:tcPr>
          <w:p w14:paraId="46E617A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04266AA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141</w:t>
            </w:r>
          </w:p>
        </w:tc>
      </w:tr>
      <w:tr w:rsidR="00AE739C" w:rsidRPr="00935EAC" w14:paraId="647DFFB3" w14:textId="77777777" w:rsidTr="0073265E">
        <w:trPr>
          <w:trHeight w:val="170"/>
        </w:trPr>
        <w:tc>
          <w:tcPr>
            <w:tcW w:w="960" w:type="dxa"/>
            <w:tcBorders>
              <w:top w:val="nil"/>
              <w:left w:val="nil"/>
              <w:bottom w:val="nil"/>
              <w:right w:val="nil"/>
            </w:tcBorders>
            <w:shd w:val="clear" w:color="000000" w:fill="FFFFFF"/>
            <w:noWrap/>
            <w:vAlign w:val="bottom"/>
            <w:hideMark/>
          </w:tcPr>
          <w:p w14:paraId="34C86D2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32</w:t>
            </w:r>
          </w:p>
        </w:tc>
        <w:tc>
          <w:tcPr>
            <w:tcW w:w="2254" w:type="dxa"/>
            <w:tcBorders>
              <w:top w:val="nil"/>
              <w:left w:val="nil"/>
              <w:bottom w:val="nil"/>
              <w:right w:val="nil"/>
            </w:tcBorders>
            <w:shd w:val="clear" w:color="000000" w:fill="FFFFFF"/>
            <w:noWrap/>
            <w:vAlign w:val="bottom"/>
            <w:hideMark/>
          </w:tcPr>
          <w:p w14:paraId="081104A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Iceland</w:t>
            </w:r>
          </w:p>
        </w:tc>
        <w:tc>
          <w:tcPr>
            <w:tcW w:w="1090" w:type="dxa"/>
            <w:tcBorders>
              <w:top w:val="nil"/>
              <w:left w:val="nil"/>
              <w:bottom w:val="nil"/>
              <w:right w:val="nil"/>
            </w:tcBorders>
            <w:shd w:val="clear" w:color="000000" w:fill="FFFFFF"/>
            <w:noWrap/>
            <w:vAlign w:val="bottom"/>
            <w:hideMark/>
          </w:tcPr>
          <w:p w14:paraId="0FED5CE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-3.188</w:t>
            </w:r>
          </w:p>
        </w:tc>
        <w:tc>
          <w:tcPr>
            <w:tcW w:w="1030" w:type="dxa"/>
            <w:tcBorders>
              <w:top w:val="nil"/>
              <w:left w:val="nil"/>
              <w:bottom w:val="nil"/>
              <w:right w:val="nil"/>
            </w:tcBorders>
            <w:shd w:val="clear" w:color="000000" w:fill="FFFFFF"/>
            <w:noWrap/>
            <w:vAlign w:val="bottom"/>
            <w:hideMark/>
          </w:tcPr>
          <w:p w14:paraId="2012E88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6.991</w:t>
            </w:r>
          </w:p>
        </w:tc>
        <w:tc>
          <w:tcPr>
            <w:tcW w:w="1090" w:type="dxa"/>
            <w:tcBorders>
              <w:top w:val="nil"/>
              <w:left w:val="nil"/>
              <w:bottom w:val="nil"/>
              <w:right w:val="nil"/>
            </w:tcBorders>
            <w:shd w:val="clear" w:color="000000" w:fill="FFFFFF"/>
            <w:noWrap/>
            <w:vAlign w:val="bottom"/>
            <w:hideMark/>
          </w:tcPr>
          <w:p w14:paraId="106E991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-30.086</w:t>
            </w:r>
          </w:p>
        </w:tc>
        <w:tc>
          <w:tcPr>
            <w:tcW w:w="1090" w:type="dxa"/>
            <w:tcBorders>
              <w:top w:val="nil"/>
              <w:left w:val="nil"/>
              <w:bottom w:val="nil"/>
              <w:right w:val="nil"/>
            </w:tcBorders>
            <w:shd w:val="clear" w:color="000000" w:fill="FFFFFF"/>
            <w:noWrap/>
            <w:vAlign w:val="bottom"/>
            <w:hideMark/>
          </w:tcPr>
          <w:p w14:paraId="7DF40DB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10.202</w:t>
            </w:r>
          </w:p>
        </w:tc>
        <w:tc>
          <w:tcPr>
            <w:tcW w:w="956" w:type="dxa"/>
            <w:tcBorders>
              <w:top w:val="nil"/>
              <w:left w:val="nil"/>
              <w:bottom w:val="nil"/>
              <w:right w:val="nil"/>
            </w:tcBorders>
            <w:shd w:val="clear" w:color="000000" w:fill="FFFFFF"/>
            <w:noWrap/>
            <w:vAlign w:val="bottom"/>
            <w:hideMark/>
          </w:tcPr>
          <w:p w14:paraId="16BE800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1976-Q1</w:t>
            </w:r>
          </w:p>
        </w:tc>
        <w:tc>
          <w:tcPr>
            <w:tcW w:w="956" w:type="dxa"/>
            <w:tcBorders>
              <w:top w:val="nil"/>
              <w:left w:val="nil"/>
              <w:bottom w:val="nil"/>
              <w:right w:val="nil"/>
            </w:tcBorders>
            <w:shd w:val="clear" w:color="000000" w:fill="FFFFFF"/>
            <w:noWrap/>
            <w:vAlign w:val="bottom"/>
            <w:hideMark/>
          </w:tcPr>
          <w:p w14:paraId="2541FA3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6F27CA0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196</w:t>
            </w:r>
          </w:p>
        </w:tc>
      </w:tr>
      <w:tr w:rsidR="00AE739C" w:rsidRPr="00935EAC" w14:paraId="16A08D8D" w14:textId="77777777" w:rsidTr="0073265E">
        <w:trPr>
          <w:trHeight w:val="170"/>
        </w:trPr>
        <w:tc>
          <w:tcPr>
            <w:tcW w:w="960" w:type="dxa"/>
            <w:tcBorders>
              <w:top w:val="nil"/>
              <w:left w:val="nil"/>
              <w:bottom w:val="nil"/>
              <w:right w:val="nil"/>
            </w:tcBorders>
            <w:shd w:val="clear" w:color="000000" w:fill="FFFFFF"/>
            <w:noWrap/>
            <w:vAlign w:val="bottom"/>
            <w:hideMark/>
          </w:tcPr>
          <w:p w14:paraId="50C766C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33</w:t>
            </w:r>
          </w:p>
        </w:tc>
        <w:tc>
          <w:tcPr>
            <w:tcW w:w="2254" w:type="dxa"/>
            <w:tcBorders>
              <w:top w:val="nil"/>
              <w:left w:val="nil"/>
              <w:bottom w:val="nil"/>
              <w:right w:val="nil"/>
            </w:tcBorders>
            <w:shd w:val="clear" w:color="000000" w:fill="FFFFFF"/>
            <w:noWrap/>
            <w:vAlign w:val="bottom"/>
            <w:hideMark/>
          </w:tcPr>
          <w:p w14:paraId="0CBF61C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India</w:t>
            </w:r>
          </w:p>
        </w:tc>
        <w:tc>
          <w:tcPr>
            <w:tcW w:w="1090" w:type="dxa"/>
            <w:tcBorders>
              <w:top w:val="nil"/>
              <w:left w:val="nil"/>
              <w:bottom w:val="nil"/>
              <w:right w:val="nil"/>
            </w:tcBorders>
            <w:shd w:val="clear" w:color="000000" w:fill="FFFFFF"/>
            <w:noWrap/>
            <w:vAlign w:val="bottom"/>
            <w:hideMark/>
          </w:tcPr>
          <w:p w14:paraId="2515BAB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-1.279</w:t>
            </w:r>
          </w:p>
        </w:tc>
        <w:tc>
          <w:tcPr>
            <w:tcW w:w="1030" w:type="dxa"/>
            <w:tcBorders>
              <w:top w:val="nil"/>
              <w:left w:val="nil"/>
              <w:bottom w:val="nil"/>
              <w:right w:val="nil"/>
            </w:tcBorders>
            <w:shd w:val="clear" w:color="000000" w:fill="FFFFFF"/>
            <w:noWrap/>
            <w:vAlign w:val="bottom"/>
            <w:hideMark/>
          </w:tcPr>
          <w:p w14:paraId="4DA918F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1.610</w:t>
            </w:r>
          </w:p>
        </w:tc>
        <w:tc>
          <w:tcPr>
            <w:tcW w:w="1090" w:type="dxa"/>
            <w:tcBorders>
              <w:top w:val="nil"/>
              <w:left w:val="nil"/>
              <w:bottom w:val="nil"/>
              <w:right w:val="nil"/>
            </w:tcBorders>
            <w:shd w:val="clear" w:color="000000" w:fill="FFFFFF"/>
            <w:noWrap/>
            <w:vAlign w:val="bottom"/>
            <w:hideMark/>
          </w:tcPr>
          <w:p w14:paraId="6B3043D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-6.332</w:t>
            </w:r>
          </w:p>
        </w:tc>
        <w:tc>
          <w:tcPr>
            <w:tcW w:w="1090" w:type="dxa"/>
            <w:tcBorders>
              <w:top w:val="nil"/>
              <w:left w:val="nil"/>
              <w:bottom w:val="nil"/>
              <w:right w:val="nil"/>
            </w:tcBorders>
            <w:shd w:val="clear" w:color="000000" w:fill="FFFFFF"/>
            <w:noWrap/>
            <w:vAlign w:val="bottom"/>
            <w:hideMark/>
          </w:tcPr>
          <w:p w14:paraId="35A7E6E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9.091</w:t>
            </w:r>
          </w:p>
        </w:tc>
        <w:tc>
          <w:tcPr>
            <w:tcW w:w="956" w:type="dxa"/>
            <w:tcBorders>
              <w:top w:val="nil"/>
              <w:left w:val="nil"/>
              <w:bottom w:val="nil"/>
              <w:right w:val="nil"/>
            </w:tcBorders>
            <w:shd w:val="clear" w:color="000000" w:fill="FFFFFF"/>
            <w:noWrap/>
            <w:vAlign w:val="bottom"/>
            <w:hideMark/>
          </w:tcPr>
          <w:p w14:paraId="0551E43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1960-Q1</w:t>
            </w:r>
          </w:p>
        </w:tc>
        <w:tc>
          <w:tcPr>
            <w:tcW w:w="956" w:type="dxa"/>
            <w:tcBorders>
              <w:top w:val="nil"/>
              <w:left w:val="nil"/>
              <w:bottom w:val="nil"/>
              <w:right w:val="nil"/>
            </w:tcBorders>
            <w:shd w:val="clear" w:color="000000" w:fill="FFFFFF"/>
            <w:noWrap/>
            <w:vAlign w:val="bottom"/>
            <w:hideMark/>
          </w:tcPr>
          <w:p w14:paraId="31ABEF1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2BFFFD2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260</w:t>
            </w:r>
          </w:p>
        </w:tc>
      </w:tr>
      <w:tr w:rsidR="00AE739C" w:rsidRPr="00935EAC" w14:paraId="1F52C97A" w14:textId="77777777" w:rsidTr="0073265E">
        <w:trPr>
          <w:trHeight w:val="170"/>
        </w:trPr>
        <w:tc>
          <w:tcPr>
            <w:tcW w:w="960" w:type="dxa"/>
            <w:tcBorders>
              <w:top w:val="nil"/>
              <w:left w:val="nil"/>
              <w:bottom w:val="nil"/>
              <w:right w:val="nil"/>
            </w:tcBorders>
            <w:shd w:val="clear" w:color="000000" w:fill="FFFFFF"/>
            <w:noWrap/>
            <w:vAlign w:val="bottom"/>
            <w:hideMark/>
          </w:tcPr>
          <w:p w14:paraId="28632AC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34</w:t>
            </w:r>
          </w:p>
        </w:tc>
        <w:tc>
          <w:tcPr>
            <w:tcW w:w="2254" w:type="dxa"/>
            <w:tcBorders>
              <w:top w:val="nil"/>
              <w:left w:val="nil"/>
              <w:bottom w:val="nil"/>
              <w:right w:val="nil"/>
            </w:tcBorders>
            <w:shd w:val="clear" w:color="000000" w:fill="FFFFFF"/>
            <w:noWrap/>
            <w:vAlign w:val="bottom"/>
            <w:hideMark/>
          </w:tcPr>
          <w:p w14:paraId="7F6CAB8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Indonesia</w:t>
            </w:r>
          </w:p>
        </w:tc>
        <w:tc>
          <w:tcPr>
            <w:tcW w:w="1090" w:type="dxa"/>
            <w:tcBorders>
              <w:top w:val="nil"/>
              <w:left w:val="nil"/>
              <w:bottom w:val="nil"/>
              <w:right w:val="nil"/>
            </w:tcBorders>
            <w:shd w:val="clear" w:color="000000" w:fill="FFFFFF"/>
            <w:noWrap/>
            <w:vAlign w:val="bottom"/>
            <w:hideMark/>
          </w:tcPr>
          <w:p w14:paraId="06FCF2F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-0.795</w:t>
            </w:r>
          </w:p>
        </w:tc>
        <w:tc>
          <w:tcPr>
            <w:tcW w:w="1030" w:type="dxa"/>
            <w:tcBorders>
              <w:top w:val="nil"/>
              <w:left w:val="nil"/>
              <w:bottom w:val="nil"/>
              <w:right w:val="nil"/>
            </w:tcBorders>
            <w:shd w:val="clear" w:color="000000" w:fill="FFFFFF"/>
            <w:noWrap/>
            <w:vAlign w:val="bottom"/>
            <w:hideMark/>
          </w:tcPr>
          <w:p w14:paraId="3102E6D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3.125</w:t>
            </w:r>
          </w:p>
        </w:tc>
        <w:tc>
          <w:tcPr>
            <w:tcW w:w="1090" w:type="dxa"/>
            <w:tcBorders>
              <w:top w:val="nil"/>
              <w:left w:val="nil"/>
              <w:bottom w:val="nil"/>
              <w:right w:val="nil"/>
            </w:tcBorders>
            <w:shd w:val="clear" w:color="000000" w:fill="FFFFFF"/>
            <w:noWrap/>
            <w:vAlign w:val="bottom"/>
            <w:hideMark/>
          </w:tcPr>
          <w:p w14:paraId="575ECDE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-13.379</w:t>
            </w:r>
          </w:p>
        </w:tc>
        <w:tc>
          <w:tcPr>
            <w:tcW w:w="1090" w:type="dxa"/>
            <w:tcBorders>
              <w:top w:val="nil"/>
              <w:left w:val="nil"/>
              <w:bottom w:val="nil"/>
              <w:right w:val="nil"/>
            </w:tcBorders>
            <w:shd w:val="clear" w:color="000000" w:fill="FFFFFF"/>
            <w:noWrap/>
            <w:vAlign w:val="bottom"/>
            <w:hideMark/>
          </w:tcPr>
          <w:p w14:paraId="6B0CE94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8.163</w:t>
            </w:r>
          </w:p>
        </w:tc>
        <w:tc>
          <w:tcPr>
            <w:tcW w:w="956" w:type="dxa"/>
            <w:tcBorders>
              <w:top w:val="nil"/>
              <w:left w:val="nil"/>
              <w:bottom w:val="nil"/>
              <w:right w:val="nil"/>
            </w:tcBorders>
            <w:shd w:val="clear" w:color="000000" w:fill="FFFFFF"/>
            <w:noWrap/>
            <w:vAlign w:val="bottom"/>
            <w:hideMark/>
          </w:tcPr>
          <w:p w14:paraId="695F5AD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1981-Q1</w:t>
            </w:r>
          </w:p>
        </w:tc>
        <w:tc>
          <w:tcPr>
            <w:tcW w:w="956" w:type="dxa"/>
            <w:tcBorders>
              <w:top w:val="nil"/>
              <w:left w:val="nil"/>
              <w:bottom w:val="nil"/>
              <w:right w:val="nil"/>
            </w:tcBorders>
            <w:shd w:val="clear" w:color="000000" w:fill="FFFFFF"/>
            <w:noWrap/>
            <w:vAlign w:val="bottom"/>
            <w:hideMark/>
          </w:tcPr>
          <w:p w14:paraId="0A2D77C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0D58B63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176</w:t>
            </w:r>
          </w:p>
        </w:tc>
      </w:tr>
      <w:tr w:rsidR="00AE739C" w:rsidRPr="00935EAC" w14:paraId="4A14AF2F" w14:textId="77777777" w:rsidTr="0073265E">
        <w:trPr>
          <w:trHeight w:val="170"/>
        </w:trPr>
        <w:tc>
          <w:tcPr>
            <w:tcW w:w="960" w:type="dxa"/>
            <w:tcBorders>
              <w:top w:val="nil"/>
              <w:left w:val="nil"/>
              <w:bottom w:val="nil"/>
              <w:right w:val="nil"/>
            </w:tcBorders>
            <w:shd w:val="clear" w:color="000000" w:fill="FFFFFF"/>
            <w:noWrap/>
            <w:vAlign w:val="bottom"/>
            <w:hideMark/>
          </w:tcPr>
          <w:p w14:paraId="460805F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35</w:t>
            </w:r>
          </w:p>
        </w:tc>
        <w:tc>
          <w:tcPr>
            <w:tcW w:w="2254" w:type="dxa"/>
            <w:tcBorders>
              <w:top w:val="nil"/>
              <w:left w:val="nil"/>
              <w:bottom w:val="nil"/>
              <w:right w:val="nil"/>
            </w:tcBorders>
            <w:shd w:val="clear" w:color="000000" w:fill="FFFFFF"/>
            <w:noWrap/>
            <w:vAlign w:val="bottom"/>
            <w:hideMark/>
          </w:tcPr>
          <w:p w14:paraId="3CD9BAD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Ireland</w:t>
            </w:r>
          </w:p>
        </w:tc>
        <w:tc>
          <w:tcPr>
            <w:tcW w:w="1090" w:type="dxa"/>
            <w:tcBorders>
              <w:top w:val="nil"/>
              <w:left w:val="nil"/>
              <w:bottom w:val="nil"/>
              <w:right w:val="nil"/>
            </w:tcBorders>
            <w:shd w:val="clear" w:color="000000" w:fill="FFFFFF"/>
            <w:noWrap/>
            <w:vAlign w:val="bottom"/>
            <w:hideMark/>
          </w:tcPr>
          <w:p w14:paraId="07E2538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0.548</w:t>
            </w:r>
          </w:p>
        </w:tc>
        <w:tc>
          <w:tcPr>
            <w:tcW w:w="1030" w:type="dxa"/>
            <w:tcBorders>
              <w:top w:val="nil"/>
              <w:left w:val="nil"/>
              <w:bottom w:val="nil"/>
              <w:right w:val="nil"/>
            </w:tcBorders>
            <w:shd w:val="clear" w:color="000000" w:fill="FFFFFF"/>
            <w:noWrap/>
            <w:vAlign w:val="bottom"/>
            <w:hideMark/>
          </w:tcPr>
          <w:p w14:paraId="10AA3D9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9.809</w:t>
            </w:r>
          </w:p>
        </w:tc>
        <w:tc>
          <w:tcPr>
            <w:tcW w:w="1090" w:type="dxa"/>
            <w:tcBorders>
              <w:top w:val="nil"/>
              <w:left w:val="nil"/>
              <w:bottom w:val="nil"/>
              <w:right w:val="nil"/>
            </w:tcBorders>
            <w:shd w:val="clear" w:color="000000" w:fill="FFFFFF"/>
            <w:noWrap/>
            <w:vAlign w:val="bottom"/>
            <w:hideMark/>
          </w:tcPr>
          <w:p w14:paraId="6E0915B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-58.296</w:t>
            </w:r>
          </w:p>
        </w:tc>
        <w:tc>
          <w:tcPr>
            <w:tcW w:w="1090" w:type="dxa"/>
            <w:tcBorders>
              <w:top w:val="nil"/>
              <w:left w:val="nil"/>
              <w:bottom w:val="nil"/>
              <w:right w:val="nil"/>
            </w:tcBorders>
            <w:shd w:val="clear" w:color="000000" w:fill="FFFFFF"/>
            <w:noWrap/>
            <w:vAlign w:val="bottom"/>
            <w:hideMark/>
          </w:tcPr>
          <w:p w14:paraId="6D928A6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25.322</w:t>
            </w:r>
          </w:p>
        </w:tc>
        <w:tc>
          <w:tcPr>
            <w:tcW w:w="956" w:type="dxa"/>
            <w:tcBorders>
              <w:top w:val="nil"/>
              <w:left w:val="nil"/>
              <w:bottom w:val="nil"/>
              <w:right w:val="nil"/>
            </w:tcBorders>
            <w:shd w:val="clear" w:color="000000" w:fill="FFFFFF"/>
            <w:noWrap/>
            <w:vAlign w:val="bottom"/>
            <w:hideMark/>
          </w:tcPr>
          <w:p w14:paraId="29D4A6E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1990-Q1</w:t>
            </w:r>
          </w:p>
        </w:tc>
        <w:tc>
          <w:tcPr>
            <w:tcW w:w="956" w:type="dxa"/>
            <w:tcBorders>
              <w:top w:val="nil"/>
              <w:left w:val="nil"/>
              <w:bottom w:val="nil"/>
              <w:right w:val="nil"/>
            </w:tcBorders>
            <w:shd w:val="clear" w:color="000000" w:fill="FFFFFF"/>
            <w:noWrap/>
            <w:vAlign w:val="bottom"/>
            <w:hideMark/>
          </w:tcPr>
          <w:p w14:paraId="5E13ADC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33FE9E8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140</w:t>
            </w:r>
          </w:p>
        </w:tc>
      </w:tr>
      <w:tr w:rsidR="00AE739C" w:rsidRPr="00935EAC" w14:paraId="15DEE5D2" w14:textId="77777777" w:rsidTr="0073265E">
        <w:trPr>
          <w:trHeight w:val="170"/>
        </w:trPr>
        <w:tc>
          <w:tcPr>
            <w:tcW w:w="960" w:type="dxa"/>
            <w:tcBorders>
              <w:top w:val="nil"/>
              <w:left w:val="nil"/>
              <w:bottom w:val="nil"/>
              <w:right w:val="nil"/>
            </w:tcBorders>
            <w:shd w:val="clear" w:color="000000" w:fill="FFFFFF"/>
            <w:noWrap/>
            <w:vAlign w:val="bottom"/>
            <w:hideMark/>
          </w:tcPr>
          <w:p w14:paraId="1691678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36</w:t>
            </w:r>
          </w:p>
        </w:tc>
        <w:tc>
          <w:tcPr>
            <w:tcW w:w="2254" w:type="dxa"/>
            <w:tcBorders>
              <w:top w:val="nil"/>
              <w:left w:val="nil"/>
              <w:bottom w:val="nil"/>
              <w:right w:val="nil"/>
            </w:tcBorders>
            <w:shd w:val="clear" w:color="000000" w:fill="FFFFFF"/>
            <w:noWrap/>
            <w:vAlign w:val="bottom"/>
            <w:hideMark/>
          </w:tcPr>
          <w:p w14:paraId="633C9A0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Israel</w:t>
            </w:r>
          </w:p>
        </w:tc>
        <w:tc>
          <w:tcPr>
            <w:tcW w:w="1090" w:type="dxa"/>
            <w:tcBorders>
              <w:top w:val="nil"/>
              <w:left w:val="nil"/>
              <w:bottom w:val="nil"/>
              <w:right w:val="nil"/>
            </w:tcBorders>
            <w:shd w:val="clear" w:color="000000" w:fill="FFFFFF"/>
            <w:noWrap/>
            <w:vAlign w:val="bottom"/>
            <w:hideMark/>
          </w:tcPr>
          <w:p w14:paraId="26ECDF8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-1.218</w:t>
            </w:r>
          </w:p>
        </w:tc>
        <w:tc>
          <w:tcPr>
            <w:tcW w:w="1030" w:type="dxa"/>
            <w:tcBorders>
              <w:top w:val="nil"/>
              <w:left w:val="nil"/>
              <w:bottom w:val="nil"/>
              <w:right w:val="nil"/>
            </w:tcBorders>
            <w:shd w:val="clear" w:color="000000" w:fill="FFFFFF"/>
            <w:noWrap/>
            <w:vAlign w:val="bottom"/>
            <w:hideMark/>
          </w:tcPr>
          <w:p w14:paraId="6848C6C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5.553</w:t>
            </w:r>
          </w:p>
        </w:tc>
        <w:tc>
          <w:tcPr>
            <w:tcW w:w="1090" w:type="dxa"/>
            <w:tcBorders>
              <w:top w:val="nil"/>
              <w:left w:val="nil"/>
              <w:bottom w:val="nil"/>
              <w:right w:val="nil"/>
            </w:tcBorders>
            <w:shd w:val="clear" w:color="000000" w:fill="FFFFFF"/>
            <w:noWrap/>
            <w:vAlign w:val="bottom"/>
            <w:hideMark/>
          </w:tcPr>
          <w:p w14:paraId="4AFE1CE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-16.827</w:t>
            </w:r>
          </w:p>
        </w:tc>
        <w:tc>
          <w:tcPr>
            <w:tcW w:w="1090" w:type="dxa"/>
            <w:tcBorders>
              <w:top w:val="nil"/>
              <w:left w:val="nil"/>
              <w:bottom w:val="nil"/>
              <w:right w:val="nil"/>
            </w:tcBorders>
            <w:shd w:val="clear" w:color="000000" w:fill="FFFFFF"/>
            <w:noWrap/>
            <w:vAlign w:val="bottom"/>
            <w:hideMark/>
          </w:tcPr>
          <w:p w14:paraId="11A8942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16.257</w:t>
            </w:r>
          </w:p>
        </w:tc>
        <w:tc>
          <w:tcPr>
            <w:tcW w:w="956" w:type="dxa"/>
            <w:tcBorders>
              <w:top w:val="nil"/>
              <w:left w:val="nil"/>
              <w:bottom w:val="nil"/>
              <w:right w:val="nil"/>
            </w:tcBorders>
            <w:shd w:val="clear" w:color="000000" w:fill="FFFFFF"/>
            <w:noWrap/>
            <w:vAlign w:val="bottom"/>
            <w:hideMark/>
          </w:tcPr>
          <w:p w14:paraId="0B477C4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1972-Q1</w:t>
            </w:r>
          </w:p>
        </w:tc>
        <w:tc>
          <w:tcPr>
            <w:tcW w:w="956" w:type="dxa"/>
            <w:tcBorders>
              <w:top w:val="nil"/>
              <w:left w:val="nil"/>
              <w:bottom w:val="nil"/>
              <w:right w:val="nil"/>
            </w:tcBorders>
            <w:shd w:val="clear" w:color="000000" w:fill="FFFFFF"/>
            <w:noWrap/>
            <w:vAlign w:val="bottom"/>
            <w:hideMark/>
          </w:tcPr>
          <w:p w14:paraId="50774B7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0B9608D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212</w:t>
            </w:r>
          </w:p>
        </w:tc>
      </w:tr>
      <w:tr w:rsidR="00AE739C" w:rsidRPr="00935EAC" w14:paraId="7A0A046D" w14:textId="77777777" w:rsidTr="0073265E">
        <w:trPr>
          <w:trHeight w:val="170"/>
        </w:trPr>
        <w:tc>
          <w:tcPr>
            <w:tcW w:w="960" w:type="dxa"/>
            <w:tcBorders>
              <w:top w:val="nil"/>
              <w:left w:val="nil"/>
              <w:bottom w:val="nil"/>
              <w:right w:val="nil"/>
            </w:tcBorders>
            <w:shd w:val="clear" w:color="000000" w:fill="FFFFFF"/>
            <w:noWrap/>
            <w:vAlign w:val="bottom"/>
            <w:hideMark/>
          </w:tcPr>
          <w:p w14:paraId="2323737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37</w:t>
            </w:r>
          </w:p>
        </w:tc>
        <w:tc>
          <w:tcPr>
            <w:tcW w:w="2254" w:type="dxa"/>
            <w:tcBorders>
              <w:top w:val="nil"/>
              <w:left w:val="nil"/>
              <w:bottom w:val="nil"/>
              <w:right w:val="nil"/>
            </w:tcBorders>
            <w:shd w:val="clear" w:color="000000" w:fill="FFFFFF"/>
            <w:noWrap/>
            <w:vAlign w:val="bottom"/>
            <w:hideMark/>
          </w:tcPr>
          <w:p w14:paraId="221195B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Italy</w:t>
            </w:r>
          </w:p>
        </w:tc>
        <w:tc>
          <w:tcPr>
            <w:tcW w:w="1090" w:type="dxa"/>
            <w:tcBorders>
              <w:top w:val="nil"/>
              <w:left w:val="nil"/>
              <w:bottom w:val="nil"/>
              <w:right w:val="nil"/>
            </w:tcBorders>
            <w:shd w:val="clear" w:color="000000" w:fill="FFFFFF"/>
            <w:noWrap/>
            <w:vAlign w:val="bottom"/>
            <w:hideMark/>
          </w:tcPr>
          <w:p w14:paraId="17A86BA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0.004</w:t>
            </w:r>
          </w:p>
        </w:tc>
        <w:tc>
          <w:tcPr>
            <w:tcW w:w="1030" w:type="dxa"/>
            <w:tcBorders>
              <w:top w:val="nil"/>
              <w:left w:val="nil"/>
              <w:bottom w:val="nil"/>
              <w:right w:val="nil"/>
            </w:tcBorders>
            <w:shd w:val="clear" w:color="000000" w:fill="FFFFFF"/>
            <w:noWrap/>
            <w:vAlign w:val="bottom"/>
            <w:hideMark/>
          </w:tcPr>
          <w:p w14:paraId="333618D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2.001</w:t>
            </w:r>
          </w:p>
        </w:tc>
        <w:tc>
          <w:tcPr>
            <w:tcW w:w="1090" w:type="dxa"/>
            <w:tcBorders>
              <w:top w:val="nil"/>
              <w:left w:val="nil"/>
              <w:bottom w:val="nil"/>
              <w:right w:val="nil"/>
            </w:tcBorders>
            <w:shd w:val="clear" w:color="000000" w:fill="FFFFFF"/>
            <w:noWrap/>
            <w:vAlign w:val="bottom"/>
            <w:hideMark/>
          </w:tcPr>
          <w:p w14:paraId="3D64CF8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-5.167</w:t>
            </w:r>
          </w:p>
        </w:tc>
        <w:tc>
          <w:tcPr>
            <w:tcW w:w="1090" w:type="dxa"/>
            <w:tcBorders>
              <w:top w:val="nil"/>
              <w:left w:val="nil"/>
              <w:bottom w:val="nil"/>
              <w:right w:val="nil"/>
            </w:tcBorders>
            <w:shd w:val="clear" w:color="000000" w:fill="FFFFFF"/>
            <w:noWrap/>
            <w:vAlign w:val="bottom"/>
            <w:hideMark/>
          </w:tcPr>
          <w:p w14:paraId="5F79F71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5.028</w:t>
            </w:r>
          </w:p>
        </w:tc>
        <w:tc>
          <w:tcPr>
            <w:tcW w:w="956" w:type="dxa"/>
            <w:tcBorders>
              <w:top w:val="nil"/>
              <w:left w:val="nil"/>
              <w:bottom w:val="nil"/>
              <w:right w:val="nil"/>
            </w:tcBorders>
            <w:shd w:val="clear" w:color="000000" w:fill="FFFFFF"/>
            <w:noWrap/>
            <w:vAlign w:val="bottom"/>
            <w:hideMark/>
          </w:tcPr>
          <w:p w14:paraId="6509C62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1970-Q1</w:t>
            </w:r>
          </w:p>
        </w:tc>
        <w:tc>
          <w:tcPr>
            <w:tcW w:w="956" w:type="dxa"/>
            <w:tcBorders>
              <w:top w:val="nil"/>
              <w:left w:val="nil"/>
              <w:bottom w:val="nil"/>
              <w:right w:val="nil"/>
            </w:tcBorders>
            <w:shd w:val="clear" w:color="000000" w:fill="FFFFFF"/>
            <w:noWrap/>
            <w:vAlign w:val="bottom"/>
            <w:hideMark/>
          </w:tcPr>
          <w:p w14:paraId="4304F12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2FA5786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220</w:t>
            </w:r>
          </w:p>
        </w:tc>
      </w:tr>
      <w:tr w:rsidR="00AE739C" w:rsidRPr="00935EAC" w14:paraId="711FFD0C" w14:textId="77777777" w:rsidTr="0073265E">
        <w:trPr>
          <w:trHeight w:val="170"/>
        </w:trPr>
        <w:tc>
          <w:tcPr>
            <w:tcW w:w="960" w:type="dxa"/>
            <w:tcBorders>
              <w:top w:val="nil"/>
              <w:left w:val="nil"/>
              <w:bottom w:val="nil"/>
              <w:right w:val="nil"/>
            </w:tcBorders>
            <w:shd w:val="clear" w:color="000000" w:fill="FFFFFF"/>
            <w:noWrap/>
            <w:vAlign w:val="bottom"/>
            <w:hideMark/>
          </w:tcPr>
          <w:p w14:paraId="6D58BC1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38</w:t>
            </w:r>
          </w:p>
        </w:tc>
        <w:tc>
          <w:tcPr>
            <w:tcW w:w="2254" w:type="dxa"/>
            <w:tcBorders>
              <w:top w:val="nil"/>
              <w:left w:val="nil"/>
              <w:bottom w:val="nil"/>
              <w:right w:val="nil"/>
            </w:tcBorders>
            <w:shd w:val="clear" w:color="000000" w:fill="FFFFFF"/>
            <w:noWrap/>
            <w:vAlign w:val="bottom"/>
            <w:hideMark/>
          </w:tcPr>
          <w:p w14:paraId="003486D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Japan</w:t>
            </w:r>
          </w:p>
        </w:tc>
        <w:tc>
          <w:tcPr>
            <w:tcW w:w="1090" w:type="dxa"/>
            <w:tcBorders>
              <w:top w:val="nil"/>
              <w:left w:val="nil"/>
              <w:bottom w:val="nil"/>
              <w:right w:val="nil"/>
            </w:tcBorders>
            <w:shd w:val="clear" w:color="000000" w:fill="FFFFFF"/>
            <w:noWrap/>
            <w:vAlign w:val="bottom"/>
            <w:hideMark/>
          </w:tcPr>
          <w:p w14:paraId="7A24A5E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2.531</w:t>
            </w:r>
          </w:p>
        </w:tc>
        <w:tc>
          <w:tcPr>
            <w:tcW w:w="1030" w:type="dxa"/>
            <w:tcBorders>
              <w:top w:val="nil"/>
              <w:left w:val="nil"/>
              <w:bottom w:val="nil"/>
              <w:right w:val="nil"/>
            </w:tcBorders>
            <w:shd w:val="clear" w:color="000000" w:fill="FFFFFF"/>
            <w:noWrap/>
            <w:vAlign w:val="bottom"/>
            <w:hideMark/>
          </w:tcPr>
          <w:p w14:paraId="6AFDDF5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1.376</w:t>
            </w:r>
          </w:p>
        </w:tc>
        <w:tc>
          <w:tcPr>
            <w:tcW w:w="1090" w:type="dxa"/>
            <w:tcBorders>
              <w:top w:val="nil"/>
              <w:left w:val="nil"/>
              <w:bottom w:val="nil"/>
              <w:right w:val="nil"/>
            </w:tcBorders>
            <w:shd w:val="clear" w:color="000000" w:fill="FFFFFF"/>
            <w:noWrap/>
            <w:vAlign w:val="bottom"/>
            <w:hideMark/>
          </w:tcPr>
          <w:p w14:paraId="286F0DD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-1.827</w:t>
            </w:r>
          </w:p>
        </w:tc>
        <w:tc>
          <w:tcPr>
            <w:tcW w:w="1090" w:type="dxa"/>
            <w:tcBorders>
              <w:top w:val="nil"/>
              <w:left w:val="nil"/>
              <w:bottom w:val="nil"/>
              <w:right w:val="nil"/>
            </w:tcBorders>
            <w:shd w:val="clear" w:color="000000" w:fill="FFFFFF"/>
            <w:noWrap/>
            <w:vAlign w:val="bottom"/>
            <w:hideMark/>
          </w:tcPr>
          <w:p w14:paraId="4771B75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5.295</w:t>
            </w:r>
          </w:p>
        </w:tc>
        <w:tc>
          <w:tcPr>
            <w:tcW w:w="956" w:type="dxa"/>
            <w:tcBorders>
              <w:top w:val="nil"/>
              <w:left w:val="nil"/>
              <w:bottom w:val="nil"/>
              <w:right w:val="nil"/>
            </w:tcBorders>
            <w:shd w:val="clear" w:color="000000" w:fill="FFFFFF"/>
            <w:noWrap/>
            <w:vAlign w:val="bottom"/>
            <w:hideMark/>
          </w:tcPr>
          <w:p w14:paraId="7094133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1977-Q1</w:t>
            </w:r>
          </w:p>
        </w:tc>
        <w:tc>
          <w:tcPr>
            <w:tcW w:w="956" w:type="dxa"/>
            <w:tcBorders>
              <w:top w:val="nil"/>
              <w:left w:val="nil"/>
              <w:bottom w:val="nil"/>
              <w:right w:val="nil"/>
            </w:tcBorders>
            <w:shd w:val="clear" w:color="000000" w:fill="FFFFFF"/>
            <w:noWrap/>
            <w:vAlign w:val="bottom"/>
            <w:hideMark/>
          </w:tcPr>
          <w:p w14:paraId="7BB3350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2025-Q1</w:t>
            </w:r>
          </w:p>
        </w:tc>
        <w:tc>
          <w:tcPr>
            <w:tcW w:w="574" w:type="dxa"/>
            <w:tcBorders>
              <w:top w:val="nil"/>
              <w:left w:val="nil"/>
              <w:bottom w:val="nil"/>
              <w:right w:val="nil"/>
            </w:tcBorders>
            <w:shd w:val="clear" w:color="000000" w:fill="FFFFFF"/>
            <w:noWrap/>
            <w:vAlign w:val="bottom"/>
            <w:hideMark/>
          </w:tcPr>
          <w:p w14:paraId="2505F8A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193</w:t>
            </w:r>
          </w:p>
        </w:tc>
      </w:tr>
      <w:tr w:rsidR="00AE739C" w:rsidRPr="00935EAC" w14:paraId="31AFCBF4" w14:textId="77777777" w:rsidTr="0073265E">
        <w:trPr>
          <w:trHeight w:val="170"/>
        </w:trPr>
        <w:tc>
          <w:tcPr>
            <w:tcW w:w="960" w:type="dxa"/>
            <w:tcBorders>
              <w:top w:val="nil"/>
              <w:left w:val="nil"/>
              <w:bottom w:val="nil"/>
              <w:right w:val="nil"/>
            </w:tcBorders>
            <w:shd w:val="clear" w:color="000000" w:fill="FFFFFF"/>
            <w:noWrap/>
            <w:vAlign w:val="bottom"/>
            <w:hideMark/>
          </w:tcPr>
          <w:p w14:paraId="733B96E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39</w:t>
            </w:r>
          </w:p>
        </w:tc>
        <w:tc>
          <w:tcPr>
            <w:tcW w:w="2254" w:type="dxa"/>
            <w:tcBorders>
              <w:top w:val="nil"/>
              <w:left w:val="nil"/>
              <w:bottom w:val="nil"/>
              <w:right w:val="nil"/>
            </w:tcBorders>
            <w:shd w:val="clear" w:color="000000" w:fill="FFFFFF"/>
            <w:noWrap/>
            <w:vAlign w:val="bottom"/>
            <w:hideMark/>
          </w:tcPr>
          <w:p w14:paraId="50197C0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Kazakhstan</w:t>
            </w:r>
          </w:p>
        </w:tc>
        <w:tc>
          <w:tcPr>
            <w:tcW w:w="1090" w:type="dxa"/>
            <w:tcBorders>
              <w:top w:val="nil"/>
              <w:left w:val="nil"/>
              <w:bottom w:val="nil"/>
              <w:right w:val="nil"/>
            </w:tcBorders>
            <w:shd w:val="clear" w:color="000000" w:fill="FFFFFF"/>
            <w:noWrap/>
            <w:vAlign w:val="bottom"/>
            <w:hideMark/>
          </w:tcPr>
          <w:p w14:paraId="7CB7FD7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-1.556</w:t>
            </w:r>
          </w:p>
        </w:tc>
        <w:tc>
          <w:tcPr>
            <w:tcW w:w="1030" w:type="dxa"/>
            <w:tcBorders>
              <w:top w:val="nil"/>
              <w:left w:val="nil"/>
              <w:bottom w:val="nil"/>
              <w:right w:val="nil"/>
            </w:tcBorders>
            <w:shd w:val="clear" w:color="000000" w:fill="FFFFFF"/>
            <w:noWrap/>
            <w:vAlign w:val="bottom"/>
            <w:hideMark/>
          </w:tcPr>
          <w:p w14:paraId="3983D82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4.891</w:t>
            </w:r>
          </w:p>
        </w:tc>
        <w:tc>
          <w:tcPr>
            <w:tcW w:w="1090" w:type="dxa"/>
            <w:tcBorders>
              <w:top w:val="nil"/>
              <w:left w:val="nil"/>
              <w:bottom w:val="nil"/>
              <w:right w:val="nil"/>
            </w:tcBorders>
            <w:shd w:val="clear" w:color="000000" w:fill="FFFFFF"/>
            <w:noWrap/>
            <w:vAlign w:val="bottom"/>
            <w:hideMark/>
          </w:tcPr>
          <w:p w14:paraId="12076DC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-11.776</w:t>
            </w:r>
          </w:p>
        </w:tc>
        <w:tc>
          <w:tcPr>
            <w:tcW w:w="1090" w:type="dxa"/>
            <w:tcBorders>
              <w:top w:val="nil"/>
              <w:left w:val="nil"/>
              <w:bottom w:val="nil"/>
              <w:right w:val="nil"/>
            </w:tcBorders>
            <w:shd w:val="clear" w:color="000000" w:fill="FFFFFF"/>
            <w:noWrap/>
            <w:vAlign w:val="bottom"/>
            <w:hideMark/>
          </w:tcPr>
          <w:p w14:paraId="420BA54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11.858</w:t>
            </w:r>
          </w:p>
        </w:tc>
        <w:tc>
          <w:tcPr>
            <w:tcW w:w="956" w:type="dxa"/>
            <w:tcBorders>
              <w:top w:val="nil"/>
              <w:left w:val="nil"/>
              <w:bottom w:val="nil"/>
              <w:right w:val="nil"/>
            </w:tcBorders>
            <w:shd w:val="clear" w:color="000000" w:fill="FFFFFF"/>
            <w:noWrap/>
            <w:vAlign w:val="bottom"/>
            <w:hideMark/>
          </w:tcPr>
          <w:p w14:paraId="53CFF51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1995-Q1</w:t>
            </w:r>
          </w:p>
        </w:tc>
        <w:tc>
          <w:tcPr>
            <w:tcW w:w="956" w:type="dxa"/>
            <w:tcBorders>
              <w:top w:val="nil"/>
              <w:left w:val="nil"/>
              <w:bottom w:val="nil"/>
              <w:right w:val="nil"/>
            </w:tcBorders>
            <w:shd w:val="clear" w:color="000000" w:fill="FFFFFF"/>
            <w:noWrap/>
            <w:vAlign w:val="bottom"/>
            <w:hideMark/>
          </w:tcPr>
          <w:p w14:paraId="6BFAA04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2020-Q1</w:t>
            </w:r>
          </w:p>
        </w:tc>
        <w:tc>
          <w:tcPr>
            <w:tcW w:w="574" w:type="dxa"/>
            <w:tcBorders>
              <w:top w:val="nil"/>
              <w:left w:val="nil"/>
              <w:bottom w:val="nil"/>
              <w:right w:val="nil"/>
            </w:tcBorders>
            <w:shd w:val="clear" w:color="000000" w:fill="FFFFFF"/>
            <w:noWrap/>
            <w:vAlign w:val="bottom"/>
            <w:hideMark/>
          </w:tcPr>
          <w:p w14:paraId="08E4196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101</w:t>
            </w:r>
          </w:p>
        </w:tc>
      </w:tr>
      <w:tr w:rsidR="00AE739C" w:rsidRPr="00935EAC" w14:paraId="13E9DABB" w14:textId="77777777" w:rsidTr="0073265E">
        <w:trPr>
          <w:trHeight w:val="170"/>
        </w:trPr>
        <w:tc>
          <w:tcPr>
            <w:tcW w:w="960" w:type="dxa"/>
            <w:tcBorders>
              <w:top w:val="nil"/>
              <w:left w:val="nil"/>
              <w:right w:val="nil"/>
            </w:tcBorders>
            <w:shd w:val="clear" w:color="000000" w:fill="FFFFFF"/>
            <w:noWrap/>
            <w:vAlign w:val="bottom"/>
            <w:hideMark/>
          </w:tcPr>
          <w:p w14:paraId="40301E5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40</w:t>
            </w:r>
          </w:p>
        </w:tc>
        <w:tc>
          <w:tcPr>
            <w:tcW w:w="2254" w:type="dxa"/>
            <w:tcBorders>
              <w:top w:val="nil"/>
              <w:left w:val="nil"/>
              <w:right w:val="nil"/>
            </w:tcBorders>
            <w:shd w:val="clear" w:color="000000" w:fill="FFFFFF"/>
            <w:noWrap/>
            <w:vAlign w:val="bottom"/>
            <w:hideMark/>
          </w:tcPr>
          <w:p w14:paraId="1107D8A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Korea  Rep.</w:t>
            </w:r>
          </w:p>
        </w:tc>
        <w:tc>
          <w:tcPr>
            <w:tcW w:w="1090" w:type="dxa"/>
            <w:tcBorders>
              <w:top w:val="nil"/>
              <w:left w:val="nil"/>
              <w:right w:val="nil"/>
            </w:tcBorders>
            <w:shd w:val="clear" w:color="000000" w:fill="FFFFFF"/>
            <w:noWrap/>
            <w:vAlign w:val="bottom"/>
            <w:hideMark/>
          </w:tcPr>
          <w:p w14:paraId="750E4BB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0.972</w:t>
            </w:r>
          </w:p>
        </w:tc>
        <w:tc>
          <w:tcPr>
            <w:tcW w:w="1030" w:type="dxa"/>
            <w:tcBorders>
              <w:top w:val="nil"/>
              <w:left w:val="nil"/>
              <w:right w:val="nil"/>
            </w:tcBorders>
            <w:shd w:val="clear" w:color="000000" w:fill="FFFFFF"/>
            <w:noWrap/>
            <w:vAlign w:val="bottom"/>
            <w:hideMark/>
          </w:tcPr>
          <w:p w14:paraId="407C74C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4.302</w:t>
            </w:r>
          </w:p>
        </w:tc>
        <w:tc>
          <w:tcPr>
            <w:tcW w:w="1090" w:type="dxa"/>
            <w:tcBorders>
              <w:top w:val="nil"/>
              <w:left w:val="nil"/>
              <w:right w:val="nil"/>
            </w:tcBorders>
            <w:shd w:val="clear" w:color="000000" w:fill="FFFFFF"/>
            <w:noWrap/>
            <w:vAlign w:val="bottom"/>
            <w:hideMark/>
          </w:tcPr>
          <w:p w14:paraId="01994F3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-13.061</w:t>
            </w:r>
          </w:p>
        </w:tc>
        <w:tc>
          <w:tcPr>
            <w:tcW w:w="1090" w:type="dxa"/>
            <w:tcBorders>
              <w:top w:val="nil"/>
              <w:left w:val="nil"/>
              <w:right w:val="nil"/>
            </w:tcBorders>
            <w:shd w:val="clear" w:color="000000" w:fill="FFFFFF"/>
            <w:noWrap/>
            <w:vAlign w:val="bottom"/>
            <w:hideMark/>
          </w:tcPr>
          <w:p w14:paraId="71809EA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15.225</w:t>
            </w:r>
          </w:p>
        </w:tc>
        <w:tc>
          <w:tcPr>
            <w:tcW w:w="956" w:type="dxa"/>
            <w:tcBorders>
              <w:top w:val="nil"/>
              <w:left w:val="nil"/>
              <w:right w:val="nil"/>
            </w:tcBorders>
            <w:shd w:val="clear" w:color="000000" w:fill="FFFFFF"/>
            <w:noWrap/>
            <w:vAlign w:val="bottom"/>
            <w:hideMark/>
          </w:tcPr>
          <w:p w14:paraId="6E54982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1976-Q1</w:t>
            </w:r>
          </w:p>
        </w:tc>
        <w:tc>
          <w:tcPr>
            <w:tcW w:w="956" w:type="dxa"/>
            <w:tcBorders>
              <w:top w:val="nil"/>
              <w:left w:val="nil"/>
              <w:right w:val="nil"/>
            </w:tcBorders>
            <w:shd w:val="clear" w:color="000000" w:fill="FFFFFF"/>
            <w:noWrap/>
            <w:vAlign w:val="bottom"/>
            <w:hideMark/>
          </w:tcPr>
          <w:p w14:paraId="3E5D3FC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right w:val="nil"/>
            </w:tcBorders>
            <w:shd w:val="clear" w:color="000000" w:fill="FFFFFF"/>
            <w:noWrap/>
            <w:vAlign w:val="bottom"/>
            <w:hideMark/>
          </w:tcPr>
          <w:p w14:paraId="1A64464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196</w:t>
            </w:r>
          </w:p>
        </w:tc>
      </w:tr>
      <w:tr w:rsidR="00AE739C" w:rsidRPr="00935EAC" w14:paraId="7125E908" w14:textId="77777777" w:rsidTr="0073265E">
        <w:trPr>
          <w:trHeight w:val="170"/>
        </w:trPr>
        <w:tc>
          <w:tcPr>
            <w:tcW w:w="960" w:type="dxa"/>
            <w:tcBorders>
              <w:top w:val="nil"/>
              <w:left w:val="nil"/>
              <w:right w:val="nil"/>
            </w:tcBorders>
            <w:shd w:val="clear" w:color="000000" w:fill="FFFFFF"/>
            <w:noWrap/>
            <w:vAlign w:val="bottom"/>
            <w:hideMark/>
          </w:tcPr>
          <w:p w14:paraId="0D78FAD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41</w:t>
            </w:r>
          </w:p>
        </w:tc>
        <w:tc>
          <w:tcPr>
            <w:tcW w:w="2254" w:type="dxa"/>
            <w:tcBorders>
              <w:top w:val="nil"/>
              <w:left w:val="nil"/>
              <w:right w:val="nil"/>
            </w:tcBorders>
            <w:shd w:val="clear" w:color="000000" w:fill="FFFFFF"/>
            <w:noWrap/>
            <w:vAlign w:val="bottom"/>
            <w:hideMark/>
          </w:tcPr>
          <w:p w14:paraId="753C122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Kyrgyz Republic</w:t>
            </w:r>
          </w:p>
        </w:tc>
        <w:tc>
          <w:tcPr>
            <w:tcW w:w="1090" w:type="dxa"/>
            <w:tcBorders>
              <w:top w:val="nil"/>
              <w:left w:val="nil"/>
              <w:right w:val="nil"/>
            </w:tcBorders>
            <w:shd w:val="clear" w:color="000000" w:fill="FFFFFF"/>
            <w:noWrap/>
            <w:vAlign w:val="bottom"/>
            <w:hideMark/>
          </w:tcPr>
          <w:p w14:paraId="1C921CC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-9.721</w:t>
            </w:r>
          </w:p>
        </w:tc>
        <w:tc>
          <w:tcPr>
            <w:tcW w:w="1030" w:type="dxa"/>
            <w:tcBorders>
              <w:top w:val="nil"/>
              <w:left w:val="nil"/>
              <w:right w:val="nil"/>
            </w:tcBorders>
            <w:shd w:val="clear" w:color="000000" w:fill="FFFFFF"/>
            <w:noWrap/>
            <w:vAlign w:val="bottom"/>
            <w:hideMark/>
          </w:tcPr>
          <w:p w14:paraId="2C67667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8.924</w:t>
            </w:r>
          </w:p>
        </w:tc>
        <w:tc>
          <w:tcPr>
            <w:tcW w:w="1090" w:type="dxa"/>
            <w:tcBorders>
              <w:top w:val="nil"/>
              <w:left w:val="nil"/>
              <w:right w:val="nil"/>
            </w:tcBorders>
            <w:shd w:val="clear" w:color="000000" w:fill="FFFFFF"/>
            <w:noWrap/>
            <w:vAlign w:val="bottom"/>
            <w:hideMark/>
          </w:tcPr>
          <w:p w14:paraId="15D3EC4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-34.828</w:t>
            </w:r>
          </w:p>
        </w:tc>
        <w:tc>
          <w:tcPr>
            <w:tcW w:w="1090" w:type="dxa"/>
            <w:tcBorders>
              <w:top w:val="nil"/>
              <w:left w:val="nil"/>
              <w:right w:val="nil"/>
            </w:tcBorders>
            <w:shd w:val="clear" w:color="000000" w:fill="FFFFFF"/>
            <w:noWrap/>
            <w:vAlign w:val="bottom"/>
            <w:hideMark/>
          </w:tcPr>
          <w:p w14:paraId="7E1D41D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16.061</w:t>
            </w:r>
          </w:p>
        </w:tc>
        <w:tc>
          <w:tcPr>
            <w:tcW w:w="956" w:type="dxa"/>
            <w:tcBorders>
              <w:top w:val="nil"/>
              <w:left w:val="nil"/>
              <w:right w:val="nil"/>
            </w:tcBorders>
            <w:shd w:val="clear" w:color="000000" w:fill="FFFFFF"/>
            <w:noWrap/>
            <w:vAlign w:val="bottom"/>
            <w:hideMark/>
          </w:tcPr>
          <w:p w14:paraId="4373458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1993-Q1</w:t>
            </w:r>
          </w:p>
        </w:tc>
        <w:tc>
          <w:tcPr>
            <w:tcW w:w="956" w:type="dxa"/>
            <w:tcBorders>
              <w:top w:val="nil"/>
              <w:left w:val="nil"/>
              <w:right w:val="nil"/>
            </w:tcBorders>
            <w:shd w:val="clear" w:color="000000" w:fill="FFFFFF"/>
            <w:noWrap/>
            <w:vAlign w:val="bottom"/>
            <w:hideMark/>
          </w:tcPr>
          <w:p w14:paraId="383EE18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2021-Q4</w:t>
            </w:r>
          </w:p>
        </w:tc>
        <w:tc>
          <w:tcPr>
            <w:tcW w:w="574" w:type="dxa"/>
            <w:tcBorders>
              <w:top w:val="nil"/>
              <w:left w:val="nil"/>
              <w:right w:val="nil"/>
            </w:tcBorders>
            <w:shd w:val="clear" w:color="000000" w:fill="FFFFFF"/>
            <w:noWrap/>
            <w:vAlign w:val="bottom"/>
            <w:hideMark/>
          </w:tcPr>
          <w:p w14:paraId="5F5F96B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116</w:t>
            </w:r>
          </w:p>
        </w:tc>
      </w:tr>
      <w:tr w:rsidR="00AE739C" w:rsidRPr="00935EAC" w14:paraId="5573037A" w14:textId="77777777" w:rsidTr="0073265E">
        <w:trPr>
          <w:trHeight w:val="170"/>
        </w:trPr>
        <w:tc>
          <w:tcPr>
            <w:tcW w:w="960" w:type="dxa"/>
            <w:tcBorders>
              <w:left w:val="nil"/>
              <w:right w:val="nil"/>
            </w:tcBorders>
            <w:shd w:val="clear" w:color="000000" w:fill="FFFFFF"/>
            <w:noWrap/>
            <w:vAlign w:val="bottom"/>
            <w:hideMark/>
          </w:tcPr>
          <w:p w14:paraId="5669D01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42</w:t>
            </w:r>
          </w:p>
        </w:tc>
        <w:tc>
          <w:tcPr>
            <w:tcW w:w="2254" w:type="dxa"/>
            <w:tcBorders>
              <w:left w:val="nil"/>
              <w:right w:val="nil"/>
            </w:tcBorders>
            <w:shd w:val="clear" w:color="000000" w:fill="FFFFFF"/>
            <w:noWrap/>
            <w:vAlign w:val="bottom"/>
            <w:hideMark/>
          </w:tcPr>
          <w:p w14:paraId="3460E9A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Latvia</w:t>
            </w:r>
          </w:p>
        </w:tc>
        <w:tc>
          <w:tcPr>
            <w:tcW w:w="1090" w:type="dxa"/>
            <w:tcBorders>
              <w:left w:val="nil"/>
              <w:right w:val="nil"/>
            </w:tcBorders>
            <w:shd w:val="clear" w:color="000000" w:fill="FFFFFF"/>
            <w:noWrap/>
            <w:vAlign w:val="bottom"/>
            <w:hideMark/>
          </w:tcPr>
          <w:p w14:paraId="04F1A49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-3.745</w:t>
            </w:r>
          </w:p>
        </w:tc>
        <w:tc>
          <w:tcPr>
            <w:tcW w:w="1030" w:type="dxa"/>
            <w:tcBorders>
              <w:left w:val="nil"/>
              <w:right w:val="nil"/>
            </w:tcBorders>
            <w:shd w:val="clear" w:color="000000" w:fill="FFFFFF"/>
            <w:noWrap/>
            <w:vAlign w:val="bottom"/>
            <w:hideMark/>
          </w:tcPr>
          <w:p w14:paraId="4542CE7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8.048</w:t>
            </w:r>
          </w:p>
        </w:tc>
        <w:tc>
          <w:tcPr>
            <w:tcW w:w="1090" w:type="dxa"/>
            <w:tcBorders>
              <w:left w:val="nil"/>
              <w:right w:val="nil"/>
            </w:tcBorders>
            <w:shd w:val="clear" w:color="000000" w:fill="FFFFFF"/>
            <w:noWrap/>
            <w:vAlign w:val="bottom"/>
            <w:hideMark/>
          </w:tcPr>
          <w:p w14:paraId="2EF6FD1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-26.703</w:t>
            </w:r>
          </w:p>
        </w:tc>
        <w:tc>
          <w:tcPr>
            <w:tcW w:w="1090" w:type="dxa"/>
            <w:tcBorders>
              <w:left w:val="nil"/>
              <w:right w:val="nil"/>
            </w:tcBorders>
            <w:shd w:val="clear" w:color="000000" w:fill="FFFFFF"/>
            <w:noWrap/>
            <w:vAlign w:val="bottom"/>
            <w:hideMark/>
          </w:tcPr>
          <w:p w14:paraId="54579FF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24.636</w:t>
            </w:r>
          </w:p>
        </w:tc>
        <w:tc>
          <w:tcPr>
            <w:tcW w:w="956" w:type="dxa"/>
            <w:tcBorders>
              <w:left w:val="nil"/>
              <w:right w:val="nil"/>
            </w:tcBorders>
            <w:shd w:val="clear" w:color="000000" w:fill="FFFFFF"/>
            <w:noWrap/>
            <w:vAlign w:val="bottom"/>
            <w:hideMark/>
          </w:tcPr>
          <w:p w14:paraId="409F927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1993-Q1</w:t>
            </w:r>
          </w:p>
        </w:tc>
        <w:tc>
          <w:tcPr>
            <w:tcW w:w="956" w:type="dxa"/>
            <w:tcBorders>
              <w:left w:val="nil"/>
              <w:right w:val="nil"/>
            </w:tcBorders>
            <w:shd w:val="clear" w:color="000000" w:fill="FFFFFF"/>
            <w:noWrap/>
            <w:vAlign w:val="bottom"/>
            <w:hideMark/>
          </w:tcPr>
          <w:p w14:paraId="44C244E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left w:val="nil"/>
              <w:right w:val="nil"/>
            </w:tcBorders>
            <w:shd w:val="clear" w:color="000000" w:fill="FFFFFF"/>
            <w:noWrap/>
            <w:vAlign w:val="bottom"/>
            <w:hideMark/>
          </w:tcPr>
          <w:p w14:paraId="6BDB41A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128</w:t>
            </w:r>
          </w:p>
        </w:tc>
      </w:tr>
      <w:tr w:rsidR="00AE739C" w:rsidRPr="00935EAC" w14:paraId="7768AA1D" w14:textId="77777777" w:rsidTr="0073265E">
        <w:trPr>
          <w:trHeight w:val="170"/>
        </w:trPr>
        <w:tc>
          <w:tcPr>
            <w:tcW w:w="960" w:type="dxa"/>
            <w:tcBorders>
              <w:left w:val="nil"/>
              <w:bottom w:val="nil"/>
              <w:right w:val="nil"/>
            </w:tcBorders>
            <w:shd w:val="clear" w:color="000000" w:fill="FFFFFF"/>
            <w:noWrap/>
            <w:vAlign w:val="bottom"/>
            <w:hideMark/>
          </w:tcPr>
          <w:p w14:paraId="38594EB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43</w:t>
            </w:r>
          </w:p>
        </w:tc>
        <w:tc>
          <w:tcPr>
            <w:tcW w:w="2254" w:type="dxa"/>
            <w:tcBorders>
              <w:left w:val="nil"/>
              <w:bottom w:val="nil"/>
              <w:right w:val="nil"/>
            </w:tcBorders>
            <w:shd w:val="clear" w:color="000000" w:fill="FFFFFF"/>
            <w:noWrap/>
            <w:vAlign w:val="bottom"/>
            <w:hideMark/>
          </w:tcPr>
          <w:p w14:paraId="552E865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Lithuania</w:t>
            </w:r>
          </w:p>
        </w:tc>
        <w:tc>
          <w:tcPr>
            <w:tcW w:w="1090" w:type="dxa"/>
            <w:tcBorders>
              <w:left w:val="nil"/>
              <w:bottom w:val="nil"/>
              <w:right w:val="nil"/>
            </w:tcBorders>
            <w:shd w:val="clear" w:color="000000" w:fill="FFFFFF"/>
            <w:noWrap/>
            <w:vAlign w:val="bottom"/>
            <w:hideMark/>
          </w:tcPr>
          <w:p w14:paraId="74E3D39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-3.786</w:t>
            </w:r>
          </w:p>
        </w:tc>
        <w:tc>
          <w:tcPr>
            <w:tcW w:w="1030" w:type="dxa"/>
            <w:tcBorders>
              <w:left w:val="nil"/>
              <w:bottom w:val="nil"/>
              <w:right w:val="nil"/>
            </w:tcBorders>
            <w:shd w:val="clear" w:color="000000" w:fill="FFFFFF"/>
            <w:noWrap/>
            <w:vAlign w:val="bottom"/>
            <w:hideMark/>
          </w:tcPr>
          <w:p w14:paraId="63389BC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5.975</w:t>
            </w:r>
          </w:p>
        </w:tc>
        <w:tc>
          <w:tcPr>
            <w:tcW w:w="1090" w:type="dxa"/>
            <w:tcBorders>
              <w:left w:val="nil"/>
              <w:bottom w:val="nil"/>
              <w:right w:val="nil"/>
            </w:tcBorders>
            <w:shd w:val="clear" w:color="000000" w:fill="FFFFFF"/>
            <w:noWrap/>
            <w:vAlign w:val="bottom"/>
            <w:hideMark/>
          </w:tcPr>
          <w:p w14:paraId="0DBDC27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-18.548</w:t>
            </w:r>
          </w:p>
        </w:tc>
        <w:tc>
          <w:tcPr>
            <w:tcW w:w="1090" w:type="dxa"/>
            <w:tcBorders>
              <w:left w:val="nil"/>
              <w:bottom w:val="nil"/>
              <w:right w:val="nil"/>
            </w:tcBorders>
            <w:shd w:val="clear" w:color="000000" w:fill="FFFFFF"/>
            <w:noWrap/>
            <w:vAlign w:val="bottom"/>
            <w:hideMark/>
          </w:tcPr>
          <w:p w14:paraId="43D9410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7.662</w:t>
            </w:r>
          </w:p>
        </w:tc>
        <w:tc>
          <w:tcPr>
            <w:tcW w:w="956" w:type="dxa"/>
            <w:tcBorders>
              <w:left w:val="nil"/>
              <w:bottom w:val="nil"/>
              <w:right w:val="nil"/>
            </w:tcBorders>
            <w:shd w:val="clear" w:color="000000" w:fill="FFFFFF"/>
            <w:noWrap/>
            <w:vAlign w:val="bottom"/>
            <w:hideMark/>
          </w:tcPr>
          <w:p w14:paraId="00A019B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1993-Q1</w:t>
            </w:r>
          </w:p>
        </w:tc>
        <w:tc>
          <w:tcPr>
            <w:tcW w:w="956" w:type="dxa"/>
            <w:tcBorders>
              <w:left w:val="nil"/>
              <w:bottom w:val="nil"/>
              <w:right w:val="nil"/>
            </w:tcBorders>
            <w:shd w:val="clear" w:color="000000" w:fill="FFFFFF"/>
            <w:noWrap/>
            <w:vAlign w:val="bottom"/>
            <w:hideMark/>
          </w:tcPr>
          <w:p w14:paraId="19080EA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left w:val="nil"/>
              <w:bottom w:val="nil"/>
              <w:right w:val="nil"/>
            </w:tcBorders>
            <w:shd w:val="clear" w:color="000000" w:fill="FFFFFF"/>
            <w:noWrap/>
            <w:vAlign w:val="bottom"/>
            <w:hideMark/>
          </w:tcPr>
          <w:p w14:paraId="6525D4F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128</w:t>
            </w:r>
          </w:p>
        </w:tc>
      </w:tr>
      <w:tr w:rsidR="00AE739C" w:rsidRPr="00935EAC" w14:paraId="712DF6BE" w14:textId="77777777" w:rsidTr="0073265E">
        <w:trPr>
          <w:trHeight w:val="170"/>
        </w:trPr>
        <w:tc>
          <w:tcPr>
            <w:tcW w:w="960" w:type="dxa"/>
            <w:tcBorders>
              <w:top w:val="nil"/>
              <w:left w:val="nil"/>
              <w:bottom w:val="nil"/>
              <w:right w:val="nil"/>
            </w:tcBorders>
            <w:shd w:val="clear" w:color="000000" w:fill="FFFFFF"/>
            <w:noWrap/>
            <w:vAlign w:val="bottom"/>
            <w:hideMark/>
          </w:tcPr>
          <w:p w14:paraId="0553058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44</w:t>
            </w:r>
          </w:p>
        </w:tc>
        <w:tc>
          <w:tcPr>
            <w:tcW w:w="2254" w:type="dxa"/>
            <w:tcBorders>
              <w:top w:val="nil"/>
              <w:left w:val="nil"/>
              <w:bottom w:val="nil"/>
              <w:right w:val="nil"/>
            </w:tcBorders>
            <w:shd w:val="clear" w:color="000000" w:fill="FFFFFF"/>
            <w:noWrap/>
            <w:vAlign w:val="bottom"/>
            <w:hideMark/>
          </w:tcPr>
          <w:p w14:paraId="5D081AE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Luxembourg</w:t>
            </w:r>
          </w:p>
        </w:tc>
        <w:tc>
          <w:tcPr>
            <w:tcW w:w="1090" w:type="dxa"/>
            <w:tcBorders>
              <w:top w:val="nil"/>
              <w:left w:val="nil"/>
              <w:bottom w:val="nil"/>
              <w:right w:val="nil"/>
            </w:tcBorders>
            <w:shd w:val="clear" w:color="000000" w:fill="FFFFFF"/>
            <w:noWrap/>
            <w:vAlign w:val="bottom"/>
            <w:hideMark/>
          </w:tcPr>
          <w:p w14:paraId="1AFE053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7.669</w:t>
            </w:r>
          </w:p>
        </w:tc>
        <w:tc>
          <w:tcPr>
            <w:tcW w:w="1030" w:type="dxa"/>
            <w:tcBorders>
              <w:top w:val="nil"/>
              <w:left w:val="nil"/>
              <w:bottom w:val="nil"/>
              <w:right w:val="nil"/>
            </w:tcBorders>
            <w:shd w:val="clear" w:color="000000" w:fill="FFFFFF"/>
            <w:noWrap/>
            <w:vAlign w:val="bottom"/>
            <w:hideMark/>
          </w:tcPr>
          <w:p w14:paraId="1E1ABFE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7.299</w:t>
            </w:r>
          </w:p>
        </w:tc>
        <w:tc>
          <w:tcPr>
            <w:tcW w:w="1090" w:type="dxa"/>
            <w:tcBorders>
              <w:top w:val="nil"/>
              <w:left w:val="nil"/>
              <w:bottom w:val="nil"/>
              <w:right w:val="nil"/>
            </w:tcBorders>
            <w:shd w:val="clear" w:color="000000" w:fill="FFFFFF"/>
            <w:noWrap/>
            <w:vAlign w:val="bottom"/>
            <w:hideMark/>
          </w:tcPr>
          <w:p w14:paraId="0341189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-14.452</w:t>
            </w:r>
          </w:p>
        </w:tc>
        <w:tc>
          <w:tcPr>
            <w:tcW w:w="1090" w:type="dxa"/>
            <w:tcBorders>
              <w:top w:val="nil"/>
              <w:left w:val="nil"/>
              <w:bottom w:val="nil"/>
              <w:right w:val="nil"/>
            </w:tcBorders>
            <w:shd w:val="clear" w:color="000000" w:fill="FFFFFF"/>
            <w:noWrap/>
            <w:vAlign w:val="bottom"/>
            <w:hideMark/>
          </w:tcPr>
          <w:p w14:paraId="73588B7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37.352</w:t>
            </w:r>
          </w:p>
        </w:tc>
        <w:tc>
          <w:tcPr>
            <w:tcW w:w="956" w:type="dxa"/>
            <w:tcBorders>
              <w:top w:val="nil"/>
              <w:left w:val="nil"/>
              <w:bottom w:val="nil"/>
              <w:right w:val="nil"/>
            </w:tcBorders>
            <w:shd w:val="clear" w:color="000000" w:fill="FFFFFF"/>
            <w:noWrap/>
            <w:vAlign w:val="bottom"/>
            <w:hideMark/>
          </w:tcPr>
          <w:p w14:paraId="26EAC8F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1995-Q1</w:t>
            </w:r>
          </w:p>
        </w:tc>
        <w:tc>
          <w:tcPr>
            <w:tcW w:w="956" w:type="dxa"/>
            <w:tcBorders>
              <w:top w:val="nil"/>
              <w:left w:val="nil"/>
              <w:bottom w:val="nil"/>
              <w:right w:val="nil"/>
            </w:tcBorders>
            <w:shd w:val="clear" w:color="000000" w:fill="FFFFFF"/>
            <w:noWrap/>
            <w:vAlign w:val="bottom"/>
            <w:hideMark/>
          </w:tcPr>
          <w:p w14:paraId="182D9FC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29565CA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120</w:t>
            </w:r>
          </w:p>
        </w:tc>
      </w:tr>
      <w:tr w:rsidR="00AE739C" w:rsidRPr="00935EAC" w14:paraId="42340AB3" w14:textId="77777777" w:rsidTr="0073265E">
        <w:trPr>
          <w:trHeight w:val="170"/>
        </w:trPr>
        <w:tc>
          <w:tcPr>
            <w:tcW w:w="960" w:type="dxa"/>
            <w:tcBorders>
              <w:top w:val="nil"/>
              <w:left w:val="nil"/>
              <w:bottom w:val="nil"/>
              <w:right w:val="nil"/>
            </w:tcBorders>
            <w:shd w:val="clear" w:color="000000" w:fill="FFFFFF"/>
            <w:noWrap/>
            <w:vAlign w:val="bottom"/>
            <w:hideMark/>
          </w:tcPr>
          <w:p w14:paraId="0B5FC31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45</w:t>
            </w:r>
          </w:p>
        </w:tc>
        <w:tc>
          <w:tcPr>
            <w:tcW w:w="2254" w:type="dxa"/>
            <w:tcBorders>
              <w:top w:val="nil"/>
              <w:left w:val="nil"/>
              <w:bottom w:val="nil"/>
              <w:right w:val="nil"/>
            </w:tcBorders>
            <w:shd w:val="clear" w:color="000000" w:fill="FFFFFF"/>
            <w:noWrap/>
            <w:vAlign w:val="bottom"/>
            <w:hideMark/>
          </w:tcPr>
          <w:p w14:paraId="73CB60AE" w14:textId="6C3CD260"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Macedonia  FYR</w:t>
            </w:r>
          </w:p>
        </w:tc>
        <w:tc>
          <w:tcPr>
            <w:tcW w:w="1090" w:type="dxa"/>
            <w:tcBorders>
              <w:top w:val="nil"/>
              <w:left w:val="nil"/>
              <w:bottom w:val="nil"/>
              <w:right w:val="nil"/>
            </w:tcBorders>
            <w:shd w:val="clear" w:color="000000" w:fill="FFFFFF"/>
            <w:noWrap/>
            <w:vAlign w:val="bottom"/>
            <w:hideMark/>
          </w:tcPr>
          <w:p w14:paraId="5C48D69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-2.105</w:t>
            </w:r>
          </w:p>
        </w:tc>
        <w:tc>
          <w:tcPr>
            <w:tcW w:w="1030" w:type="dxa"/>
            <w:tcBorders>
              <w:top w:val="nil"/>
              <w:left w:val="nil"/>
              <w:bottom w:val="nil"/>
              <w:right w:val="nil"/>
            </w:tcBorders>
            <w:shd w:val="clear" w:color="000000" w:fill="FFFFFF"/>
            <w:noWrap/>
            <w:vAlign w:val="bottom"/>
            <w:hideMark/>
          </w:tcPr>
          <w:p w14:paraId="715C4D1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3.009</w:t>
            </w:r>
          </w:p>
        </w:tc>
        <w:tc>
          <w:tcPr>
            <w:tcW w:w="1090" w:type="dxa"/>
            <w:tcBorders>
              <w:top w:val="nil"/>
              <w:left w:val="nil"/>
              <w:bottom w:val="nil"/>
              <w:right w:val="nil"/>
            </w:tcBorders>
            <w:shd w:val="clear" w:color="000000" w:fill="FFFFFF"/>
            <w:noWrap/>
            <w:vAlign w:val="bottom"/>
            <w:hideMark/>
          </w:tcPr>
          <w:p w14:paraId="7D076CE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-10.903</w:t>
            </w:r>
          </w:p>
        </w:tc>
        <w:tc>
          <w:tcPr>
            <w:tcW w:w="1090" w:type="dxa"/>
            <w:tcBorders>
              <w:top w:val="nil"/>
              <w:left w:val="nil"/>
              <w:bottom w:val="nil"/>
              <w:right w:val="nil"/>
            </w:tcBorders>
            <w:shd w:val="clear" w:color="000000" w:fill="FFFFFF"/>
            <w:noWrap/>
            <w:vAlign w:val="bottom"/>
            <w:hideMark/>
          </w:tcPr>
          <w:p w14:paraId="20EB028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5.104</w:t>
            </w:r>
          </w:p>
        </w:tc>
        <w:tc>
          <w:tcPr>
            <w:tcW w:w="956" w:type="dxa"/>
            <w:tcBorders>
              <w:top w:val="nil"/>
              <w:left w:val="nil"/>
              <w:bottom w:val="nil"/>
              <w:right w:val="nil"/>
            </w:tcBorders>
            <w:shd w:val="clear" w:color="000000" w:fill="FFFFFF"/>
            <w:noWrap/>
            <w:vAlign w:val="bottom"/>
            <w:hideMark/>
          </w:tcPr>
          <w:p w14:paraId="72CD296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2011-Q1</w:t>
            </w:r>
          </w:p>
        </w:tc>
        <w:tc>
          <w:tcPr>
            <w:tcW w:w="956" w:type="dxa"/>
            <w:tcBorders>
              <w:top w:val="nil"/>
              <w:left w:val="nil"/>
              <w:bottom w:val="nil"/>
              <w:right w:val="nil"/>
            </w:tcBorders>
            <w:shd w:val="clear" w:color="000000" w:fill="FFFFFF"/>
            <w:noWrap/>
            <w:vAlign w:val="bottom"/>
            <w:hideMark/>
          </w:tcPr>
          <w:p w14:paraId="43B9E98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2024-Q3</w:t>
            </w:r>
          </w:p>
        </w:tc>
        <w:tc>
          <w:tcPr>
            <w:tcW w:w="574" w:type="dxa"/>
            <w:tcBorders>
              <w:top w:val="nil"/>
              <w:left w:val="nil"/>
              <w:bottom w:val="nil"/>
              <w:right w:val="nil"/>
            </w:tcBorders>
            <w:shd w:val="clear" w:color="000000" w:fill="FFFFFF"/>
            <w:noWrap/>
            <w:vAlign w:val="bottom"/>
            <w:hideMark/>
          </w:tcPr>
          <w:p w14:paraId="4E41826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55</w:t>
            </w:r>
          </w:p>
        </w:tc>
      </w:tr>
      <w:tr w:rsidR="00AE739C" w:rsidRPr="00935EAC" w14:paraId="19F2283E" w14:textId="77777777" w:rsidTr="0073265E">
        <w:trPr>
          <w:trHeight w:val="170"/>
        </w:trPr>
        <w:tc>
          <w:tcPr>
            <w:tcW w:w="960" w:type="dxa"/>
            <w:tcBorders>
              <w:top w:val="nil"/>
              <w:left w:val="nil"/>
              <w:bottom w:val="nil"/>
              <w:right w:val="nil"/>
            </w:tcBorders>
            <w:shd w:val="clear" w:color="000000" w:fill="FFFFFF"/>
            <w:noWrap/>
            <w:vAlign w:val="bottom"/>
            <w:hideMark/>
          </w:tcPr>
          <w:p w14:paraId="618B3CB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46</w:t>
            </w:r>
          </w:p>
        </w:tc>
        <w:tc>
          <w:tcPr>
            <w:tcW w:w="2254" w:type="dxa"/>
            <w:tcBorders>
              <w:top w:val="nil"/>
              <w:left w:val="nil"/>
              <w:bottom w:val="nil"/>
              <w:right w:val="nil"/>
            </w:tcBorders>
            <w:shd w:val="clear" w:color="000000" w:fill="FFFFFF"/>
            <w:noWrap/>
            <w:vAlign w:val="bottom"/>
            <w:hideMark/>
          </w:tcPr>
          <w:p w14:paraId="35A5CB9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Malaysia</w:t>
            </w:r>
          </w:p>
        </w:tc>
        <w:tc>
          <w:tcPr>
            <w:tcW w:w="1090" w:type="dxa"/>
            <w:tcBorders>
              <w:top w:val="nil"/>
              <w:left w:val="nil"/>
              <w:bottom w:val="nil"/>
              <w:right w:val="nil"/>
            </w:tcBorders>
            <w:shd w:val="clear" w:color="000000" w:fill="FFFFFF"/>
            <w:noWrap/>
            <w:vAlign w:val="bottom"/>
            <w:hideMark/>
          </w:tcPr>
          <w:p w14:paraId="348145A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9.135</w:t>
            </w:r>
          </w:p>
        </w:tc>
        <w:tc>
          <w:tcPr>
            <w:tcW w:w="1030" w:type="dxa"/>
            <w:tcBorders>
              <w:top w:val="nil"/>
              <w:left w:val="nil"/>
              <w:bottom w:val="nil"/>
              <w:right w:val="nil"/>
            </w:tcBorders>
            <w:shd w:val="clear" w:color="000000" w:fill="FFFFFF"/>
            <w:noWrap/>
            <w:vAlign w:val="bottom"/>
            <w:hideMark/>
          </w:tcPr>
          <w:p w14:paraId="5E5964D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5.521</w:t>
            </w:r>
          </w:p>
        </w:tc>
        <w:tc>
          <w:tcPr>
            <w:tcW w:w="1090" w:type="dxa"/>
            <w:tcBorders>
              <w:top w:val="nil"/>
              <w:left w:val="nil"/>
              <w:bottom w:val="nil"/>
              <w:right w:val="nil"/>
            </w:tcBorders>
            <w:shd w:val="clear" w:color="000000" w:fill="FFFFFF"/>
            <w:noWrap/>
            <w:vAlign w:val="bottom"/>
            <w:hideMark/>
          </w:tcPr>
          <w:p w14:paraId="267F6CA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1.653</w:t>
            </w:r>
          </w:p>
        </w:tc>
        <w:tc>
          <w:tcPr>
            <w:tcW w:w="1090" w:type="dxa"/>
            <w:tcBorders>
              <w:top w:val="nil"/>
              <w:left w:val="nil"/>
              <w:bottom w:val="nil"/>
              <w:right w:val="nil"/>
            </w:tcBorders>
            <w:shd w:val="clear" w:color="000000" w:fill="FFFFFF"/>
            <w:noWrap/>
            <w:vAlign w:val="bottom"/>
            <w:hideMark/>
          </w:tcPr>
          <w:p w14:paraId="0177C12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19.652</w:t>
            </w:r>
          </w:p>
        </w:tc>
        <w:tc>
          <w:tcPr>
            <w:tcW w:w="956" w:type="dxa"/>
            <w:tcBorders>
              <w:top w:val="nil"/>
              <w:left w:val="nil"/>
              <w:bottom w:val="nil"/>
              <w:right w:val="nil"/>
            </w:tcBorders>
            <w:shd w:val="clear" w:color="000000" w:fill="FFFFFF"/>
            <w:noWrap/>
            <w:vAlign w:val="bottom"/>
            <w:hideMark/>
          </w:tcPr>
          <w:p w14:paraId="6A3A768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1999-Q1</w:t>
            </w:r>
          </w:p>
        </w:tc>
        <w:tc>
          <w:tcPr>
            <w:tcW w:w="956" w:type="dxa"/>
            <w:tcBorders>
              <w:top w:val="nil"/>
              <w:left w:val="nil"/>
              <w:bottom w:val="nil"/>
              <w:right w:val="nil"/>
            </w:tcBorders>
            <w:shd w:val="clear" w:color="000000" w:fill="FFFFFF"/>
            <w:noWrap/>
            <w:vAlign w:val="bottom"/>
            <w:hideMark/>
          </w:tcPr>
          <w:p w14:paraId="5FE2B03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2020-Q1</w:t>
            </w:r>
          </w:p>
        </w:tc>
        <w:tc>
          <w:tcPr>
            <w:tcW w:w="574" w:type="dxa"/>
            <w:tcBorders>
              <w:top w:val="nil"/>
              <w:left w:val="nil"/>
              <w:bottom w:val="nil"/>
              <w:right w:val="nil"/>
            </w:tcBorders>
            <w:shd w:val="clear" w:color="000000" w:fill="FFFFFF"/>
            <w:noWrap/>
            <w:vAlign w:val="bottom"/>
            <w:hideMark/>
          </w:tcPr>
          <w:p w14:paraId="168F7E6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85</w:t>
            </w:r>
          </w:p>
        </w:tc>
      </w:tr>
      <w:tr w:rsidR="00AE739C" w:rsidRPr="00935EAC" w14:paraId="4510380B" w14:textId="77777777" w:rsidTr="0073265E">
        <w:trPr>
          <w:trHeight w:val="170"/>
        </w:trPr>
        <w:tc>
          <w:tcPr>
            <w:tcW w:w="960" w:type="dxa"/>
            <w:tcBorders>
              <w:top w:val="nil"/>
              <w:left w:val="nil"/>
              <w:bottom w:val="nil"/>
              <w:right w:val="nil"/>
            </w:tcBorders>
            <w:shd w:val="clear" w:color="000000" w:fill="FFFFFF"/>
            <w:noWrap/>
            <w:vAlign w:val="bottom"/>
            <w:hideMark/>
          </w:tcPr>
          <w:p w14:paraId="79FE83A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47</w:t>
            </w:r>
          </w:p>
        </w:tc>
        <w:tc>
          <w:tcPr>
            <w:tcW w:w="2254" w:type="dxa"/>
            <w:tcBorders>
              <w:top w:val="nil"/>
              <w:left w:val="nil"/>
              <w:bottom w:val="nil"/>
              <w:right w:val="nil"/>
            </w:tcBorders>
            <w:shd w:val="clear" w:color="000000" w:fill="FFFFFF"/>
            <w:noWrap/>
            <w:vAlign w:val="bottom"/>
            <w:hideMark/>
          </w:tcPr>
          <w:p w14:paraId="340E63A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Malta</w:t>
            </w:r>
          </w:p>
        </w:tc>
        <w:tc>
          <w:tcPr>
            <w:tcW w:w="1090" w:type="dxa"/>
            <w:tcBorders>
              <w:top w:val="nil"/>
              <w:left w:val="nil"/>
              <w:bottom w:val="nil"/>
              <w:right w:val="nil"/>
            </w:tcBorders>
            <w:shd w:val="clear" w:color="000000" w:fill="FFFFFF"/>
            <w:noWrap/>
            <w:vAlign w:val="bottom"/>
            <w:hideMark/>
          </w:tcPr>
          <w:p w14:paraId="2712F05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2.433</w:t>
            </w:r>
          </w:p>
        </w:tc>
        <w:tc>
          <w:tcPr>
            <w:tcW w:w="1030" w:type="dxa"/>
            <w:tcBorders>
              <w:top w:val="nil"/>
              <w:left w:val="nil"/>
              <w:bottom w:val="nil"/>
              <w:right w:val="nil"/>
            </w:tcBorders>
            <w:shd w:val="clear" w:color="000000" w:fill="FFFFFF"/>
            <w:noWrap/>
            <w:vAlign w:val="bottom"/>
            <w:hideMark/>
          </w:tcPr>
          <w:p w14:paraId="1C9B033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8.867</w:t>
            </w:r>
          </w:p>
        </w:tc>
        <w:tc>
          <w:tcPr>
            <w:tcW w:w="1090" w:type="dxa"/>
            <w:tcBorders>
              <w:top w:val="nil"/>
              <w:left w:val="nil"/>
              <w:bottom w:val="nil"/>
              <w:right w:val="nil"/>
            </w:tcBorders>
            <w:shd w:val="clear" w:color="000000" w:fill="FFFFFF"/>
            <w:noWrap/>
            <w:vAlign w:val="bottom"/>
            <w:hideMark/>
          </w:tcPr>
          <w:p w14:paraId="01D60A2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-13.832</w:t>
            </w:r>
          </w:p>
        </w:tc>
        <w:tc>
          <w:tcPr>
            <w:tcW w:w="1090" w:type="dxa"/>
            <w:tcBorders>
              <w:top w:val="nil"/>
              <w:left w:val="nil"/>
              <w:bottom w:val="nil"/>
              <w:right w:val="nil"/>
            </w:tcBorders>
            <w:shd w:val="clear" w:color="000000" w:fill="FFFFFF"/>
            <w:noWrap/>
            <w:vAlign w:val="bottom"/>
            <w:hideMark/>
          </w:tcPr>
          <w:p w14:paraId="0B50391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22.178</w:t>
            </w:r>
          </w:p>
        </w:tc>
        <w:tc>
          <w:tcPr>
            <w:tcW w:w="956" w:type="dxa"/>
            <w:tcBorders>
              <w:top w:val="nil"/>
              <w:left w:val="nil"/>
              <w:bottom w:val="nil"/>
              <w:right w:val="nil"/>
            </w:tcBorders>
            <w:shd w:val="clear" w:color="000000" w:fill="FFFFFF"/>
            <w:noWrap/>
            <w:vAlign w:val="bottom"/>
            <w:hideMark/>
          </w:tcPr>
          <w:p w14:paraId="1FABB0D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2004-Q1</w:t>
            </w:r>
          </w:p>
        </w:tc>
        <w:tc>
          <w:tcPr>
            <w:tcW w:w="956" w:type="dxa"/>
            <w:tcBorders>
              <w:top w:val="nil"/>
              <w:left w:val="nil"/>
              <w:bottom w:val="nil"/>
              <w:right w:val="nil"/>
            </w:tcBorders>
            <w:shd w:val="clear" w:color="000000" w:fill="FFFFFF"/>
            <w:noWrap/>
            <w:vAlign w:val="bottom"/>
            <w:hideMark/>
          </w:tcPr>
          <w:p w14:paraId="18AB94B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2024-Q3</w:t>
            </w:r>
          </w:p>
        </w:tc>
        <w:tc>
          <w:tcPr>
            <w:tcW w:w="574" w:type="dxa"/>
            <w:tcBorders>
              <w:top w:val="nil"/>
              <w:left w:val="nil"/>
              <w:bottom w:val="nil"/>
              <w:right w:val="nil"/>
            </w:tcBorders>
            <w:shd w:val="clear" w:color="000000" w:fill="FFFFFF"/>
            <w:noWrap/>
            <w:vAlign w:val="bottom"/>
            <w:hideMark/>
          </w:tcPr>
          <w:p w14:paraId="0974132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83</w:t>
            </w:r>
          </w:p>
        </w:tc>
      </w:tr>
      <w:tr w:rsidR="00AE739C" w:rsidRPr="00935EAC" w14:paraId="54DDD917" w14:textId="77777777" w:rsidTr="0073265E">
        <w:trPr>
          <w:trHeight w:val="170"/>
        </w:trPr>
        <w:tc>
          <w:tcPr>
            <w:tcW w:w="960" w:type="dxa"/>
            <w:tcBorders>
              <w:top w:val="nil"/>
              <w:left w:val="nil"/>
              <w:bottom w:val="nil"/>
              <w:right w:val="nil"/>
            </w:tcBorders>
            <w:shd w:val="clear" w:color="000000" w:fill="FFFFFF"/>
            <w:noWrap/>
            <w:vAlign w:val="bottom"/>
            <w:hideMark/>
          </w:tcPr>
          <w:p w14:paraId="1A42D0E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48</w:t>
            </w:r>
          </w:p>
        </w:tc>
        <w:tc>
          <w:tcPr>
            <w:tcW w:w="2254" w:type="dxa"/>
            <w:tcBorders>
              <w:top w:val="nil"/>
              <w:left w:val="nil"/>
              <w:bottom w:val="nil"/>
              <w:right w:val="nil"/>
            </w:tcBorders>
            <w:shd w:val="clear" w:color="000000" w:fill="FFFFFF"/>
            <w:noWrap/>
            <w:vAlign w:val="bottom"/>
            <w:hideMark/>
          </w:tcPr>
          <w:p w14:paraId="10551A6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Mauritius</w:t>
            </w:r>
          </w:p>
        </w:tc>
        <w:tc>
          <w:tcPr>
            <w:tcW w:w="1090" w:type="dxa"/>
            <w:tcBorders>
              <w:top w:val="nil"/>
              <w:left w:val="nil"/>
              <w:bottom w:val="nil"/>
              <w:right w:val="nil"/>
            </w:tcBorders>
            <w:shd w:val="clear" w:color="000000" w:fill="FFFFFF"/>
            <w:noWrap/>
            <w:vAlign w:val="bottom"/>
            <w:hideMark/>
          </w:tcPr>
          <w:p w14:paraId="2BE32EF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-4.426</w:t>
            </w:r>
          </w:p>
        </w:tc>
        <w:tc>
          <w:tcPr>
            <w:tcW w:w="1030" w:type="dxa"/>
            <w:tcBorders>
              <w:top w:val="nil"/>
              <w:left w:val="nil"/>
              <w:bottom w:val="nil"/>
              <w:right w:val="nil"/>
            </w:tcBorders>
            <w:shd w:val="clear" w:color="000000" w:fill="FFFFFF"/>
            <w:noWrap/>
            <w:vAlign w:val="bottom"/>
            <w:hideMark/>
          </w:tcPr>
          <w:p w14:paraId="458CDCF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5.031</w:t>
            </w:r>
          </w:p>
        </w:tc>
        <w:tc>
          <w:tcPr>
            <w:tcW w:w="1090" w:type="dxa"/>
            <w:tcBorders>
              <w:top w:val="nil"/>
              <w:left w:val="nil"/>
              <w:bottom w:val="nil"/>
              <w:right w:val="nil"/>
            </w:tcBorders>
            <w:shd w:val="clear" w:color="000000" w:fill="FFFFFF"/>
            <w:noWrap/>
            <w:vAlign w:val="bottom"/>
            <w:hideMark/>
          </w:tcPr>
          <w:p w14:paraId="4805F4E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-16.175</w:t>
            </w:r>
          </w:p>
        </w:tc>
        <w:tc>
          <w:tcPr>
            <w:tcW w:w="1090" w:type="dxa"/>
            <w:tcBorders>
              <w:top w:val="nil"/>
              <w:left w:val="nil"/>
              <w:bottom w:val="nil"/>
              <w:right w:val="nil"/>
            </w:tcBorders>
            <w:shd w:val="clear" w:color="000000" w:fill="FFFFFF"/>
            <w:noWrap/>
            <w:vAlign w:val="bottom"/>
            <w:hideMark/>
          </w:tcPr>
          <w:p w14:paraId="27902CF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8.131</w:t>
            </w:r>
          </w:p>
        </w:tc>
        <w:tc>
          <w:tcPr>
            <w:tcW w:w="956" w:type="dxa"/>
            <w:tcBorders>
              <w:top w:val="nil"/>
              <w:left w:val="nil"/>
              <w:bottom w:val="nil"/>
              <w:right w:val="nil"/>
            </w:tcBorders>
            <w:shd w:val="clear" w:color="000000" w:fill="FFFFFF"/>
            <w:noWrap/>
            <w:vAlign w:val="bottom"/>
            <w:hideMark/>
          </w:tcPr>
          <w:p w14:paraId="6119AF4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2000-Q1</w:t>
            </w:r>
          </w:p>
        </w:tc>
        <w:tc>
          <w:tcPr>
            <w:tcW w:w="956" w:type="dxa"/>
            <w:tcBorders>
              <w:top w:val="nil"/>
              <w:left w:val="nil"/>
              <w:bottom w:val="nil"/>
              <w:right w:val="nil"/>
            </w:tcBorders>
            <w:shd w:val="clear" w:color="000000" w:fill="FFFFFF"/>
            <w:noWrap/>
            <w:vAlign w:val="bottom"/>
            <w:hideMark/>
          </w:tcPr>
          <w:p w14:paraId="316750A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2020-Q1</w:t>
            </w:r>
          </w:p>
        </w:tc>
        <w:tc>
          <w:tcPr>
            <w:tcW w:w="574" w:type="dxa"/>
            <w:tcBorders>
              <w:top w:val="nil"/>
              <w:left w:val="nil"/>
              <w:bottom w:val="nil"/>
              <w:right w:val="nil"/>
            </w:tcBorders>
            <w:shd w:val="clear" w:color="000000" w:fill="FFFFFF"/>
            <w:noWrap/>
            <w:vAlign w:val="bottom"/>
            <w:hideMark/>
          </w:tcPr>
          <w:p w14:paraId="638DE02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81</w:t>
            </w:r>
          </w:p>
        </w:tc>
      </w:tr>
      <w:tr w:rsidR="00AE739C" w:rsidRPr="00935EAC" w14:paraId="73656745" w14:textId="77777777" w:rsidTr="0073265E">
        <w:trPr>
          <w:trHeight w:val="170"/>
        </w:trPr>
        <w:tc>
          <w:tcPr>
            <w:tcW w:w="960" w:type="dxa"/>
            <w:tcBorders>
              <w:top w:val="nil"/>
              <w:left w:val="nil"/>
              <w:bottom w:val="nil"/>
              <w:right w:val="nil"/>
            </w:tcBorders>
            <w:shd w:val="clear" w:color="000000" w:fill="FFFFFF"/>
            <w:noWrap/>
            <w:vAlign w:val="bottom"/>
            <w:hideMark/>
          </w:tcPr>
          <w:p w14:paraId="5DDE30C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49</w:t>
            </w:r>
          </w:p>
        </w:tc>
        <w:tc>
          <w:tcPr>
            <w:tcW w:w="2254" w:type="dxa"/>
            <w:tcBorders>
              <w:top w:val="nil"/>
              <w:left w:val="nil"/>
              <w:bottom w:val="nil"/>
              <w:right w:val="nil"/>
            </w:tcBorders>
            <w:shd w:val="clear" w:color="000000" w:fill="FFFFFF"/>
            <w:noWrap/>
            <w:vAlign w:val="bottom"/>
            <w:hideMark/>
          </w:tcPr>
          <w:p w14:paraId="300231F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Mexico</w:t>
            </w:r>
          </w:p>
        </w:tc>
        <w:tc>
          <w:tcPr>
            <w:tcW w:w="1090" w:type="dxa"/>
            <w:tcBorders>
              <w:top w:val="nil"/>
              <w:left w:val="nil"/>
              <w:bottom w:val="nil"/>
              <w:right w:val="nil"/>
            </w:tcBorders>
            <w:shd w:val="clear" w:color="000000" w:fill="FFFFFF"/>
            <w:noWrap/>
            <w:vAlign w:val="bottom"/>
            <w:hideMark/>
          </w:tcPr>
          <w:p w14:paraId="5F42906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-1.587</w:t>
            </w:r>
          </w:p>
        </w:tc>
        <w:tc>
          <w:tcPr>
            <w:tcW w:w="1030" w:type="dxa"/>
            <w:tcBorders>
              <w:top w:val="nil"/>
              <w:left w:val="nil"/>
              <w:bottom w:val="nil"/>
              <w:right w:val="nil"/>
            </w:tcBorders>
            <w:shd w:val="clear" w:color="000000" w:fill="FFFFFF"/>
            <w:noWrap/>
            <w:vAlign w:val="bottom"/>
            <w:hideMark/>
          </w:tcPr>
          <w:p w14:paraId="17AA1BC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2.225</w:t>
            </w:r>
          </w:p>
        </w:tc>
        <w:tc>
          <w:tcPr>
            <w:tcW w:w="1090" w:type="dxa"/>
            <w:tcBorders>
              <w:top w:val="nil"/>
              <w:left w:val="nil"/>
              <w:bottom w:val="nil"/>
              <w:right w:val="nil"/>
            </w:tcBorders>
            <w:shd w:val="clear" w:color="000000" w:fill="FFFFFF"/>
            <w:noWrap/>
            <w:vAlign w:val="bottom"/>
            <w:hideMark/>
          </w:tcPr>
          <w:p w14:paraId="73F7834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-8.641</w:t>
            </w:r>
          </w:p>
        </w:tc>
        <w:tc>
          <w:tcPr>
            <w:tcW w:w="1090" w:type="dxa"/>
            <w:tcBorders>
              <w:top w:val="nil"/>
              <w:left w:val="nil"/>
              <w:bottom w:val="nil"/>
              <w:right w:val="nil"/>
            </w:tcBorders>
            <w:shd w:val="clear" w:color="000000" w:fill="FFFFFF"/>
            <w:noWrap/>
            <w:vAlign w:val="bottom"/>
            <w:hideMark/>
          </w:tcPr>
          <w:p w14:paraId="7973C4D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5.913</w:t>
            </w:r>
          </w:p>
        </w:tc>
        <w:tc>
          <w:tcPr>
            <w:tcW w:w="956" w:type="dxa"/>
            <w:tcBorders>
              <w:top w:val="nil"/>
              <w:left w:val="nil"/>
              <w:bottom w:val="nil"/>
              <w:right w:val="nil"/>
            </w:tcBorders>
            <w:shd w:val="clear" w:color="000000" w:fill="FFFFFF"/>
            <w:noWrap/>
            <w:vAlign w:val="bottom"/>
            <w:hideMark/>
          </w:tcPr>
          <w:p w14:paraId="6953066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1979-Q1</w:t>
            </w:r>
          </w:p>
        </w:tc>
        <w:tc>
          <w:tcPr>
            <w:tcW w:w="956" w:type="dxa"/>
            <w:tcBorders>
              <w:top w:val="nil"/>
              <w:left w:val="nil"/>
              <w:bottom w:val="nil"/>
              <w:right w:val="nil"/>
            </w:tcBorders>
            <w:shd w:val="clear" w:color="000000" w:fill="FFFFFF"/>
            <w:noWrap/>
            <w:vAlign w:val="bottom"/>
            <w:hideMark/>
          </w:tcPr>
          <w:p w14:paraId="3129945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232C3E7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184</w:t>
            </w:r>
          </w:p>
        </w:tc>
      </w:tr>
      <w:tr w:rsidR="00AE739C" w:rsidRPr="00935EAC" w14:paraId="3B991756" w14:textId="77777777" w:rsidTr="0073265E">
        <w:trPr>
          <w:trHeight w:val="170"/>
        </w:trPr>
        <w:tc>
          <w:tcPr>
            <w:tcW w:w="960" w:type="dxa"/>
            <w:tcBorders>
              <w:top w:val="nil"/>
              <w:left w:val="nil"/>
              <w:bottom w:val="nil"/>
              <w:right w:val="nil"/>
            </w:tcBorders>
            <w:shd w:val="clear" w:color="000000" w:fill="FFFFFF"/>
            <w:noWrap/>
            <w:vAlign w:val="bottom"/>
            <w:hideMark/>
          </w:tcPr>
          <w:p w14:paraId="1437AE9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50</w:t>
            </w:r>
          </w:p>
        </w:tc>
        <w:tc>
          <w:tcPr>
            <w:tcW w:w="2254" w:type="dxa"/>
            <w:tcBorders>
              <w:top w:val="nil"/>
              <w:left w:val="nil"/>
              <w:bottom w:val="nil"/>
              <w:right w:val="nil"/>
            </w:tcBorders>
            <w:shd w:val="clear" w:color="000000" w:fill="FFFFFF"/>
            <w:noWrap/>
            <w:vAlign w:val="bottom"/>
            <w:hideMark/>
          </w:tcPr>
          <w:p w14:paraId="3730A4C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Moldova</w:t>
            </w:r>
          </w:p>
        </w:tc>
        <w:tc>
          <w:tcPr>
            <w:tcW w:w="1090" w:type="dxa"/>
            <w:tcBorders>
              <w:top w:val="nil"/>
              <w:left w:val="nil"/>
              <w:bottom w:val="nil"/>
              <w:right w:val="nil"/>
            </w:tcBorders>
            <w:shd w:val="clear" w:color="000000" w:fill="FFFFFF"/>
            <w:noWrap/>
            <w:vAlign w:val="bottom"/>
            <w:hideMark/>
          </w:tcPr>
          <w:p w14:paraId="602D3CC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-9.026</w:t>
            </w:r>
          </w:p>
        </w:tc>
        <w:tc>
          <w:tcPr>
            <w:tcW w:w="1030" w:type="dxa"/>
            <w:tcBorders>
              <w:top w:val="nil"/>
              <w:left w:val="nil"/>
              <w:bottom w:val="nil"/>
              <w:right w:val="nil"/>
            </w:tcBorders>
            <w:shd w:val="clear" w:color="000000" w:fill="FFFFFF"/>
            <w:noWrap/>
            <w:vAlign w:val="bottom"/>
            <w:hideMark/>
          </w:tcPr>
          <w:p w14:paraId="4282899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5.521</w:t>
            </w:r>
          </w:p>
        </w:tc>
        <w:tc>
          <w:tcPr>
            <w:tcW w:w="1090" w:type="dxa"/>
            <w:tcBorders>
              <w:top w:val="nil"/>
              <w:left w:val="nil"/>
              <w:bottom w:val="nil"/>
              <w:right w:val="nil"/>
            </w:tcBorders>
            <w:shd w:val="clear" w:color="000000" w:fill="FFFFFF"/>
            <w:noWrap/>
            <w:vAlign w:val="bottom"/>
            <w:hideMark/>
          </w:tcPr>
          <w:p w14:paraId="24E669F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-23.111</w:t>
            </w:r>
          </w:p>
        </w:tc>
        <w:tc>
          <w:tcPr>
            <w:tcW w:w="1090" w:type="dxa"/>
            <w:tcBorders>
              <w:top w:val="nil"/>
              <w:left w:val="nil"/>
              <w:bottom w:val="nil"/>
              <w:right w:val="nil"/>
            </w:tcBorders>
            <w:shd w:val="clear" w:color="000000" w:fill="FFFFFF"/>
            <w:noWrap/>
            <w:vAlign w:val="bottom"/>
            <w:hideMark/>
          </w:tcPr>
          <w:p w14:paraId="367CBE7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2.339</w:t>
            </w:r>
          </w:p>
        </w:tc>
        <w:tc>
          <w:tcPr>
            <w:tcW w:w="956" w:type="dxa"/>
            <w:tcBorders>
              <w:top w:val="nil"/>
              <w:left w:val="nil"/>
              <w:bottom w:val="nil"/>
              <w:right w:val="nil"/>
            </w:tcBorders>
            <w:shd w:val="clear" w:color="000000" w:fill="FFFFFF"/>
            <w:noWrap/>
            <w:vAlign w:val="bottom"/>
            <w:hideMark/>
          </w:tcPr>
          <w:p w14:paraId="6AA4A85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1995-Q1</w:t>
            </w:r>
          </w:p>
        </w:tc>
        <w:tc>
          <w:tcPr>
            <w:tcW w:w="956" w:type="dxa"/>
            <w:tcBorders>
              <w:top w:val="nil"/>
              <w:left w:val="nil"/>
              <w:bottom w:val="nil"/>
              <w:right w:val="nil"/>
            </w:tcBorders>
            <w:shd w:val="clear" w:color="000000" w:fill="FFFFFF"/>
            <w:noWrap/>
            <w:vAlign w:val="bottom"/>
            <w:hideMark/>
          </w:tcPr>
          <w:p w14:paraId="49DBC14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2020-Q1</w:t>
            </w:r>
          </w:p>
        </w:tc>
        <w:tc>
          <w:tcPr>
            <w:tcW w:w="574" w:type="dxa"/>
            <w:tcBorders>
              <w:top w:val="nil"/>
              <w:left w:val="nil"/>
              <w:bottom w:val="nil"/>
              <w:right w:val="nil"/>
            </w:tcBorders>
            <w:shd w:val="clear" w:color="000000" w:fill="FFFFFF"/>
            <w:noWrap/>
            <w:vAlign w:val="bottom"/>
            <w:hideMark/>
          </w:tcPr>
          <w:p w14:paraId="0E9314F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101</w:t>
            </w:r>
          </w:p>
        </w:tc>
      </w:tr>
      <w:tr w:rsidR="00AE739C" w:rsidRPr="00935EAC" w14:paraId="0F8AB6CA" w14:textId="77777777" w:rsidTr="0073265E">
        <w:trPr>
          <w:trHeight w:val="170"/>
        </w:trPr>
        <w:tc>
          <w:tcPr>
            <w:tcW w:w="960" w:type="dxa"/>
            <w:tcBorders>
              <w:top w:val="nil"/>
              <w:left w:val="nil"/>
              <w:bottom w:val="nil"/>
              <w:right w:val="nil"/>
            </w:tcBorders>
            <w:shd w:val="clear" w:color="000000" w:fill="FFFFFF"/>
            <w:noWrap/>
            <w:vAlign w:val="bottom"/>
            <w:hideMark/>
          </w:tcPr>
          <w:p w14:paraId="7B21078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51</w:t>
            </w:r>
          </w:p>
        </w:tc>
        <w:tc>
          <w:tcPr>
            <w:tcW w:w="2254" w:type="dxa"/>
            <w:tcBorders>
              <w:top w:val="nil"/>
              <w:left w:val="nil"/>
              <w:bottom w:val="nil"/>
              <w:right w:val="nil"/>
            </w:tcBorders>
            <w:shd w:val="clear" w:color="000000" w:fill="FFFFFF"/>
            <w:noWrap/>
            <w:vAlign w:val="bottom"/>
            <w:hideMark/>
          </w:tcPr>
          <w:p w14:paraId="3D2A6BE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Montenegro</w:t>
            </w:r>
          </w:p>
        </w:tc>
        <w:tc>
          <w:tcPr>
            <w:tcW w:w="1090" w:type="dxa"/>
            <w:tcBorders>
              <w:top w:val="nil"/>
              <w:left w:val="nil"/>
              <w:bottom w:val="nil"/>
              <w:right w:val="nil"/>
            </w:tcBorders>
            <w:shd w:val="clear" w:color="000000" w:fill="FFFFFF"/>
            <w:noWrap/>
            <w:vAlign w:val="bottom"/>
            <w:hideMark/>
          </w:tcPr>
          <w:p w14:paraId="1F798C9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-17.617</w:t>
            </w:r>
          </w:p>
        </w:tc>
        <w:tc>
          <w:tcPr>
            <w:tcW w:w="1030" w:type="dxa"/>
            <w:tcBorders>
              <w:top w:val="nil"/>
              <w:left w:val="nil"/>
              <w:bottom w:val="nil"/>
              <w:right w:val="nil"/>
            </w:tcBorders>
            <w:shd w:val="clear" w:color="000000" w:fill="FFFFFF"/>
            <w:noWrap/>
            <w:vAlign w:val="bottom"/>
            <w:hideMark/>
          </w:tcPr>
          <w:p w14:paraId="1513BF1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5.164</w:t>
            </w:r>
          </w:p>
        </w:tc>
        <w:tc>
          <w:tcPr>
            <w:tcW w:w="1090" w:type="dxa"/>
            <w:tcBorders>
              <w:top w:val="nil"/>
              <w:left w:val="nil"/>
              <w:bottom w:val="nil"/>
              <w:right w:val="nil"/>
            </w:tcBorders>
            <w:shd w:val="clear" w:color="000000" w:fill="FFFFFF"/>
            <w:noWrap/>
            <w:vAlign w:val="bottom"/>
            <w:hideMark/>
          </w:tcPr>
          <w:p w14:paraId="3195E83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-44.982</w:t>
            </w:r>
          </w:p>
        </w:tc>
        <w:tc>
          <w:tcPr>
            <w:tcW w:w="1090" w:type="dxa"/>
            <w:tcBorders>
              <w:top w:val="nil"/>
              <w:left w:val="nil"/>
              <w:bottom w:val="nil"/>
              <w:right w:val="nil"/>
            </w:tcBorders>
            <w:shd w:val="clear" w:color="000000" w:fill="FFFFFF"/>
            <w:noWrap/>
            <w:vAlign w:val="bottom"/>
            <w:hideMark/>
          </w:tcPr>
          <w:p w14:paraId="5EF93A5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-11.088</w:t>
            </w:r>
          </w:p>
        </w:tc>
        <w:tc>
          <w:tcPr>
            <w:tcW w:w="956" w:type="dxa"/>
            <w:tcBorders>
              <w:top w:val="nil"/>
              <w:left w:val="nil"/>
              <w:bottom w:val="nil"/>
              <w:right w:val="nil"/>
            </w:tcBorders>
            <w:shd w:val="clear" w:color="000000" w:fill="FFFFFF"/>
            <w:noWrap/>
            <w:vAlign w:val="bottom"/>
            <w:hideMark/>
          </w:tcPr>
          <w:p w14:paraId="1A3F678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2013-Q1</w:t>
            </w:r>
          </w:p>
        </w:tc>
        <w:tc>
          <w:tcPr>
            <w:tcW w:w="956" w:type="dxa"/>
            <w:tcBorders>
              <w:top w:val="nil"/>
              <w:left w:val="nil"/>
              <w:bottom w:val="nil"/>
              <w:right w:val="nil"/>
            </w:tcBorders>
            <w:shd w:val="clear" w:color="000000" w:fill="FFFFFF"/>
            <w:noWrap/>
            <w:vAlign w:val="bottom"/>
            <w:hideMark/>
          </w:tcPr>
          <w:p w14:paraId="0D739D0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2024-Q3</w:t>
            </w:r>
          </w:p>
        </w:tc>
        <w:tc>
          <w:tcPr>
            <w:tcW w:w="574" w:type="dxa"/>
            <w:tcBorders>
              <w:top w:val="nil"/>
              <w:left w:val="nil"/>
              <w:bottom w:val="nil"/>
              <w:right w:val="nil"/>
            </w:tcBorders>
            <w:shd w:val="clear" w:color="000000" w:fill="FFFFFF"/>
            <w:noWrap/>
            <w:vAlign w:val="bottom"/>
            <w:hideMark/>
          </w:tcPr>
          <w:p w14:paraId="275C007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47</w:t>
            </w:r>
          </w:p>
        </w:tc>
      </w:tr>
      <w:tr w:rsidR="00AE739C" w:rsidRPr="00935EAC" w14:paraId="07D884AB" w14:textId="77777777" w:rsidTr="0073265E">
        <w:trPr>
          <w:trHeight w:val="170"/>
        </w:trPr>
        <w:tc>
          <w:tcPr>
            <w:tcW w:w="960" w:type="dxa"/>
            <w:tcBorders>
              <w:top w:val="nil"/>
              <w:left w:val="nil"/>
              <w:right w:val="nil"/>
            </w:tcBorders>
            <w:shd w:val="clear" w:color="000000" w:fill="FFFFFF"/>
            <w:noWrap/>
            <w:vAlign w:val="bottom"/>
            <w:hideMark/>
          </w:tcPr>
          <w:p w14:paraId="579329E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52</w:t>
            </w:r>
          </w:p>
        </w:tc>
        <w:tc>
          <w:tcPr>
            <w:tcW w:w="2254" w:type="dxa"/>
            <w:tcBorders>
              <w:top w:val="nil"/>
              <w:left w:val="nil"/>
              <w:right w:val="nil"/>
            </w:tcBorders>
            <w:shd w:val="clear" w:color="000000" w:fill="FFFFFF"/>
            <w:noWrap/>
            <w:vAlign w:val="bottom"/>
            <w:hideMark/>
          </w:tcPr>
          <w:p w14:paraId="43BAE6B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Netherlands</w:t>
            </w:r>
          </w:p>
        </w:tc>
        <w:tc>
          <w:tcPr>
            <w:tcW w:w="1090" w:type="dxa"/>
            <w:tcBorders>
              <w:top w:val="nil"/>
              <w:left w:val="nil"/>
              <w:right w:val="nil"/>
            </w:tcBorders>
            <w:shd w:val="clear" w:color="000000" w:fill="FFFFFF"/>
            <w:noWrap/>
            <w:vAlign w:val="bottom"/>
            <w:hideMark/>
          </w:tcPr>
          <w:p w14:paraId="7432FBD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4.987</w:t>
            </w:r>
          </w:p>
        </w:tc>
        <w:tc>
          <w:tcPr>
            <w:tcW w:w="1030" w:type="dxa"/>
            <w:tcBorders>
              <w:top w:val="nil"/>
              <w:left w:val="nil"/>
              <w:right w:val="nil"/>
            </w:tcBorders>
            <w:shd w:val="clear" w:color="000000" w:fill="FFFFFF"/>
            <w:noWrap/>
            <w:vAlign w:val="bottom"/>
            <w:hideMark/>
          </w:tcPr>
          <w:p w14:paraId="62F4216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3.460</w:t>
            </w:r>
          </w:p>
        </w:tc>
        <w:tc>
          <w:tcPr>
            <w:tcW w:w="1090" w:type="dxa"/>
            <w:tcBorders>
              <w:top w:val="nil"/>
              <w:left w:val="nil"/>
              <w:right w:val="nil"/>
            </w:tcBorders>
            <w:shd w:val="clear" w:color="000000" w:fill="FFFFFF"/>
            <w:noWrap/>
            <w:vAlign w:val="bottom"/>
            <w:hideMark/>
          </w:tcPr>
          <w:p w14:paraId="4AB22C2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-8.346</w:t>
            </w:r>
          </w:p>
        </w:tc>
        <w:tc>
          <w:tcPr>
            <w:tcW w:w="1090" w:type="dxa"/>
            <w:tcBorders>
              <w:top w:val="nil"/>
              <w:left w:val="nil"/>
              <w:right w:val="nil"/>
            </w:tcBorders>
            <w:shd w:val="clear" w:color="000000" w:fill="FFFFFF"/>
            <w:noWrap/>
            <w:vAlign w:val="bottom"/>
            <w:hideMark/>
          </w:tcPr>
          <w:p w14:paraId="3055D0A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14.725</w:t>
            </w:r>
          </w:p>
        </w:tc>
        <w:tc>
          <w:tcPr>
            <w:tcW w:w="956" w:type="dxa"/>
            <w:tcBorders>
              <w:top w:val="nil"/>
              <w:left w:val="nil"/>
              <w:right w:val="nil"/>
            </w:tcBorders>
            <w:shd w:val="clear" w:color="000000" w:fill="FFFFFF"/>
            <w:noWrap/>
            <w:vAlign w:val="bottom"/>
            <w:hideMark/>
          </w:tcPr>
          <w:p w14:paraId="67327EB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1977-Q1</w:t>
            </w:r>
          </w:p>
        </w:tc>
        <w:tc>
          <w:tcPr>
            <w:tcW w:w="956" w:type="dxa"/>
            <w:tcBorders>
              <w:top w:val="nil"/>
              <w:left w:val="nil"/>
              <w:right w:val="nil"/>
            </w:tcBorders>
            <w:shd w:val="clear" w:color="000000" w:fill="FFFFFF"/>
            <w:noWrap/>
            <w:vAlign w:val="bottom"/>
            <w:hideMark/>
          </w:tcPr>
          <w:p w14:paraId="1735245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right w:val="nil"/>
            </w:tcBorders>
            <w:shd w:val="clear" w:color="000000" w:fill="FFFFFF"/>
            <w:noWrap/>
            <w:vAlign w:val="bottom"/>
            <w:hideMark/>
          </w:tcPr>
          <w:p w14:paraId="6CBF742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192</w:t>
            </w:r>
          </w:p>
        </w:tc>
      </w:tr>
      <w:tr w:rsidR="00AE739C" w:rsidRPr="00935EAC" w14:paraId="2BC101ED" w14:textId="77777777" w:rsidTr="0073265E">
        <w:trPr>
          <w:trHeight w:val="170"/>
        </w:trPr>
        <w:tc>
          <w:tcPr>
            <w:tcW w:w="960" w:type="dxa"/>
            <w:tcBorders>
              <w:top w:val="nil"/>
              <w:left w:val="nil"/>
              <w:bottom w:val="single" w:sz="4" w:space="0" w:color="auto"/>
              <w:right w:val="nil"/>
            </w:tcBorders>
            <w:shd w:val="clear" w:color="000000" w:fill="FFFFFF"/>
            <w:noWrap/>
            <w:vAlign w:val="bottom"/>
            <w:hideMark/>
          </w:tcPr>
          <w:p w14:paraId="18664F1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53</w:t>
            </w:r>
          </w:p>
        </w:tc>
        <w:tc>
          <w:tcPr>
            <w:tcW w:w="2254" w:type="dxa"/>
            <w:tcBorders>
              <w:top w:val="nil"/>
              <w:left w:val="nil"/>
              <w:bottom w:val="single" w:sz="4" w:space="0" w:color="auto"/>
              <w:right w:val="nil"/>
            </w:tcBorders>
            <w:shd w:val="clear" w:color="000000" w:fill="FFFFFF"/>
            <w:noWrap/>
            <w:vAlign w:val="bottom"/>
            <w:hideMark/>
          </w:tcPr>
          <w:p w14:paraId="27F4FD5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New Zealand</w:t>
            </w:r>
          </w:p>
        </w:tc>
        <w:tc>
          <w:tcPr>
            <w:tcW w:w="1090" w:type="dxa"/>
            <w:tcBorders>
              <w:top w:val="nil"/>
              <w:left w:val="nil"/>
              <w:bottom w:val="single" w:sz="4" w:space="0" w:color="auto"/>
              <w:right w:val="nil"/>
            </w:tcBorders>
            <w:shd w:val="clear" w:color="000000" w:fill="FFFFFF"/>
            <w:noWrap/>
            <w:vAlign w:val="bottom"/>
            <w:hideMark/>
          </w:tcPr>
          <w:p w14:paraId="7CA7161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-4.514</w:t>
            </w:r>
          </w:p>
        </w:tc>
        <w:tc>
          <w:tcPr>
            <w:tcW w:w="1030" w:type="dxa"/>
            <w:tcBorders>
              <w:top w:val="nil"/>
              <w:left w:val="nil"/>
              <w:bottom w:val="single" w:sz="4" w:space="0" w:color="auto"/>
              <w:right w:val="nil"/>
            </w:tcBorders>
            <w:shd w:val="clear" w:color="000000" w:fill="FFFFFF"/>
            <w:noWrap/>
            <w:vAlign w:val="bottom"/>
            <w:hideMark/>
          </w:tcPr>
          <w:p w14:paraId="31067DD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2.994</w:t>
            </w:r>
          </w:p>
        </w:tc>
        <w:tc>
          <w:tcPr>
            <w:tcW w:w="1090" w:type="dxa"/>
            <w:tcBorders>
              <w:top w:val="nil"/>
              <w:left w:val="nil"/>
              <w:bottom w:val="single" w:sz="4" w:space="0" w:color="auto"/>
              <w:right w:val="nil"/>
            </w:tcBorders>
            <w:shd w:val="clear" w:color="000000" w:fill="FFFFFF"/>
            <w:noWrap/>
            <w:vAlign w:val="bottom"/>
            <w:hideMark/>
          </w:tcPr>
          <w:p w14:paraId="6117728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-16.022</w:t>
            </w:r>
          </w:p>
        </w:tc>
        <w:tc>
          <w:tcPr>
            <w:tcW w:w="1090" w:type="dxa"/>
            <w:tcBorders>
              <w:top w:val="nil"/>
              <w:left w:val="nil"/>
              <w:bottom w:val="single" w:sz="4" w:space="0" w:color="auto"/>
              <w:right w:val="nil"/>
            </w:tcBorders>
            <w:shd w:val="clear" w:color="000000" w:fill="FFFFFF"/>
            <w:noWrap/>
            <w:vAlign w:val="bottom"/>
            <w:hideMark/>
          </w:tcPr>
          <w:p w14:paraId="5B90BC4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0.693</w:t>
            </w:r>
          </w:p>
        </w:tc>
        <w:tc>
          <w:tcPr>
            <w:tcW w:w="956" w:type="dxa"/>
            <w:tcBorders>
              <w:top w:val="nil"/>
              <w:left w:val="nil"/>
              <w:bottom w:val="single" w:sz="4" w:space="0" w:color="auto"/>
              <w:right w:val="nil"/>
            </w:tcBorders>
            <w:shd w:val="clear" w:color="000000" w:fill="FFFFFF"/>
            <w:noWrap/>
            <w:vAlign w:val="bottom"/>
            <w:hideMark/>
          </w:tcPr>
          <w:p w14:paraId="5A9465A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1980-Q1</w:t>
            </w:r>
          </w:p>
        </w:tc>
        <w:tc>
          <w:tcPr>
            <w:tcW w:w="956" w:type="dxa"/>
            <w:tcBorders>
              <w:top w:val="nil"/>
              <w:left w:val="nil"/>
              <w:bottom w:val="single" w:sz="4" w:space="0" w:color="auto"/>
              <w:right w:val="nil"/>
            </w:tcBorders>
            <w:shd w:val="clear" w:color="000000" w:fill="FFFFFF"/>
            <w:noWrap/>
            <w:vAlign w:val="bottom"/>
            <w:hideMark/>
          </w:tcPr>
          <w:p w14:paraId="0A0BD04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single" w:sz="4" w:space="0" w:color="auto"/>
              <w:right w:val="nil"/>
            </w:tcBorders>
            <w:shd w:val="clear" w:color="000000" w:fill="FFFFFF"/>
            <w:noWrap/>
            <w:vAlign w:val="bottom"/>
            <w:hideMark/>
          </w:tcPr>
          <w:p w14:paraId="0241A76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180</w:t>
            </w:r>
          </w:p>
        </w:tc>
      </w:tr>
      <w:tr w:rsidR="00AE739C" w:rsidRPr="00935EAC" w14:paraId="531743ED" w14:textId="77777777" w:rsidTr="0073265E">
        <w:trPr>
          <w:trHeight w:val="170"/>
        </w:trPr>
        <w:tc>
          <w:tcPr>
            <w:tcW w:w="960" w:type="dxa"/>
            <w:tcBorders>
              <w:top w:val="single" w:sz="4" w:space="0" w:color="auto"/>
              <w:left w:val="nil"/>
              <w:bottom w:val="nil"/>
              <w:right w:val="nil"/>
            </w:tcBorders>
            <w:shd w:val="clear" w:color="000000" w:fill="FFFFFF"/>
            <w:noWrap/>
            <w:vAlign w:val="bottom"/>
            <w:hideMark/>
          </w:tcPr>
          <w:p w14:paraId="2673A83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lastRenderedPageBreak/>
              <w:t>54</w:t>
            </w:r>
          </w:p>
        </w:tc>
        <w:tc>
          <w:tcPr>
            <w:tcW w:w="2254" w:type="dxa"/>
            <w:tcBorders>
              <w:top w:val="single" w:sz="4" w:space="0" w:color="auto"/>
              <w:left w:val="nil"/>
              <w:bottom w:val="nil"/>
              <w:right w:val="nil"/>
            </w:tcBorders>
            <w:shd w:val="clear" w:color="000000" w:fill="FFFFFF"/>
            <w:noWrap/>
            <w:vAlign w:val="bottom"/>
            <w:hideMark/>
          </w:tcPr>
          <w:p w14:paraId="3E08D23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Norway</w:t>
            </w:r>
          </w:p>
        </w:tc>
        <w:tc>
          <w:tcPr>
            <w:tcW w:w="1090" w:type="dxa"/>
            <w:tcBorders>
              <w:top w:val="single" w:sz="4" w:space="0" w:color="auto"/>
              <w:left w:val="nil"/>
              <w:bottom w:val="nil"/>
              <w:right w:val="nil"/>
            </w:tcBorders>
            <w:shd w:val="clear" w:color="000000" w:fill="FFFFFF"/>
            <w:noWrap/>
            <w:vAlign w:val="bottom"/>
            <w:hideMark/>
          </w:tcPr>
          <w:p w14:paraId="737492F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6.027</w:t>
            </w:r>
          </w:p>
        </w:tc>
        <w:tc>
          <w:tcPr>
            <w:tcW w:w="1030" w:type="dxa"/>
            <w:tcBorders>
              <w:top w:val="single" w:sz="4" w:space="0" w:color="auto"/>
              <w:left w:val="nil"/>
              <w:bottom w:val="nil"/>
              <w:right w:val="nil"/>
            </w:tcBorders>
            <w:shd w:val="clear" w:color="000000" w:fill="FFFFFF"/>
            <w:noWrap/>
            <w:vAlign w:val="bottom"/>
            <w:hideMark/>
          </w:tcPr>
          <w:p w14:paraId="5A360C0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8.393</w:t>
            </w:r>
          </w:p>
        </w:tc>
        <w:tc>
          <w:tcPr>
            <w:tcW w:w="1090" w:type="dxa"/>
            <w:tcBorders>
              <w:top w:val="single" w:sz="4" w:space="0" w:color="auto"/>
              <w:left w:val="nil"/>
              <w:bottom w:val="nil"/>
              <w:right w:val="nil"/>
            </w:tcBorders>
            <w:shd w:val="clear" w:color="000000" w:fill="FFFFFF"/>
            <w:noWrap/>
            <w:vAlign w:val="bottom"/>
            <w:hideMark/>
          </w:tcPr>
          <w:p w14:paraId="667858B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-16.706</w:t>
            </w:r>
          </w:p>
        </w:tc>
        <w:tc>
          <w:tcPr>
            <w:tcW w:w="1090" w:type="dxa"/>
            <w:tcBorders>
              <w:top w:val="single" w:sz="4" w:space="0" w:color="auto"/>
              <w:left w:val="nil"/>
              <w:bottom w:val="nil"/>
              <w:right w:val="nil"/>
            </w:tcBorders>
            <w:shd w:val="clear" w:color="000000" w:fill="FFFFFF"/>
            <w:noWrap/>
            <w:vAlign w:val="bottom"/>
            <w:hideMark/>
          </w:tcPr>
          <w:p w14:paraId="31F014B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38.383</w:t>
            </w:r>
          </w:p>
        </w:tc>
        <w:tc>
          <w:tcPr>
            <w:tcW w:w="956" w:type="dxa"/>
            <w:tcBorders>
              <w:top w:val="single" w:sz="4" w:space="0" w:color="auto"/>
              <w:left w:val="nil"/>
              <w:bottom w:val="nil"/>
              <w:right w:val="nil"/>
            </w:tcBorders>
            <w:shd w:val="clear" w:color="000000" w:fill="FFFFFF"/>
            <w:noWrap/>
            <w:vAlign w:val="bottom"/>
            <w:hideMark/>
          </w:tcPr>
          <w:p w14:paraId="6258493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1975-Q1</w:t>
            </w:r>
          </w:p>
        </w:tc>
        <w:tc>
          <w:tcPr>
            <w:tcW w:w="956" w:type="dxa"/>
            <w:tcBorders>
              <w:top w:val="single" w:sz="4" w:space="0" w:color="auto"/>
              <w:left w:val="nil"/>
              <w:bottom w:val="nil"/>
              <w:right w:val="nil"/>
            </w:tcBorders>
            <w:shd w:val="clear" w:color="000000" w:fill="FFFFFF"/>
            <w:noWrap/>
            <w:vAlign w:val="bottom"/>
            <w:hideMark/>
          </w:tcPr>
          <w:p w14:paraId="6FFE73F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single" w:sz="4" w:space="0" w:color="auto"/>
              <w:left w:val="nil"/>
              <w:bottom w:val="nil"/>
              <w:right w:val="nil"/>
            </w:tcBorders>
            <w:shd w:val="clear" w:color="000000" w:fill="FFFFFF"/>
            <w:noWrap/>
            <w:vAlign w:val="bottom"/>
            <w:hideMark/>
          </w:tcPr>
          <w:p w14:paraId="0FB2A2A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200</w:t>
            </w:r>
          </w:p>
        </w:tc>
      </w:tr>
      <w:tr w:rsidR="00AE739C" w:rsidRPr="00935EAC" w14:paraId="0A11D1C9" w14:textId="77777777" w:rsidTr="0073265E">
        <w:trPr>
          <w:trHeight w:val="170"/>
        </w:trPr>
        <w:tc>
          <w:tcPr>
            <w:tcW w:w="960" w:type="dxa"/>
            <w:tcBorders>
              <w:top w:val="nil"/>
              <w:left w:val="nil"/>
              <w:bottom w:val="nil"/>
              <w:right w:val="nil"/>
            </w:tcBorders>
            <w:shd w:val="clear" w:color="000000" w:fill="FFFFFF"/>
            <w:noWrap/>
            <w:vAlign w:val="bottom"/>
            <w:hideMark/>
          </w:tcPr>
          <w:p w14:paraId="3E95B1B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55</w:t>
            </w:r>
          </w:p>
        </w:tc>
        <w:tc>
          <w:tcPr>
            <w:tcW w:w="2254" w:type="dxa"/>
            <w:tcBorders>
              <w:top w:val="nil"/>
              <w:left w:val="nil"/>
              <w:bottom w:val="nil"/>
              <w:right w:val="nil"/>
            </w:tcBorders>
            <w:shd w:val="clear" w:color="000000" w:fill="FFFFFF"/>
            <w:noWrap/>
            <w:vAlign w:val="bottom"/>
            <w:hideMark/>
          </w:tcPr>
          <w:p w14:paraId="0FCF926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Paraguay</w:t>
            </w:r>
          </w:p>
        </w:tc>
        <w:tc>
          <w:tcPr>
            <w:tcW w:w="1090" w:type="dxa"/>
            <w:tcBorders>
              <w:top w:val="nil"/>
              <w:left w:val="nil"/>
              <w:bottom w:val="nil"/>
              <w:right w:val="nil"/>
            </w:tcBorders>
            <w:shd w:val="clear" w:color="000000" w:fill="FFFFFF"/>
            <w:noWrap/>
            <w:vAlign w:val="bottom"/>
            <w:hideMark/>
          </w:tcPr>
          <w:p w14:paraId="2931040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0.303</w:t>
            </w:r>
          </w:p>
        </w:tc>
        <w:tc>
          <w:tcPr>
            <w:tcW w:w="1030" w:type="dxa"/>
            <w:tcBorders>
              <w:top w:val="nil"/>
              <w:left w:val="nil"/>
              <w:bottom w:val="nil"/>
              <w:right w:val="nil"/>
            </w:tcBorders>
            <w:shd w:val="clear" w:color="000000" w:fill="FFFFFF"/>
            <w:noWrap/>
            <w:vAlign w:val="bottom"/>
            <w:hideMark/>
          </w:tcPr>
          <w:p w14:paraId="5873CB9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3.358</w:t>
            </w:r>
          </w:p>
        </w:tc>
        <w:tc>
          <w:tcPr>
            <w:tcW w:w="1090" w:type="dxa"/>
            <w:tcBorders>
              <w:top w:val="nil"/>
              <w:left w:val="nil"/>
              <w:bottom w:val="nil"/>
              <w:right w:val="nil"/>
            </w:tcBorders>
            <w:shd w:val="clear" w:color="000000" w:fill="FFFFFF"/>
            <w:noWrap/>
            <w:vAlign w:val="bottom"/>
            <w:hideMark/>
          </w:tcPr>
          <w:p w14:paraId="6D5569C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-6.507</w:t>
            </w:r>
          </w:p>
        </w:tc>
        <w:tc>
          <w:tcPr>
            <w:tcW w:w="1090" w:type="dxa"/>
            <w:tcBorders>
              <w:top w:val="nil"/>
              <w:left w:val="nil"/>
              <w:bottom w:val="nil"/>
              <w:right w:val="nil"/>
            </w:tcBorders>
            <w:shd w:val="clear" w:color="000000" w:fill="FFFFFF"/>
            <w:noWrap/>
            <w:vAlign w:val="bottom"/>
            <w:hideMark/>
          </w:tcPr>
          <w:p w14:paraId="00C77A3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8.949</w:t>
            </w:r>
          </w:p>
        </w:tc>
        <w:tc>
          <w:tcPr>
            <w:tcW w:w="956" w:type="dxa"/>
            <w:tcBorders>
              <w:top w:val="nil"/>
              <w:left w:val="nil"/>
              <w:bottom w:val="nil"/>
              <w:right w:val="nil"/>
            </w:tcBorders>
            <w:shd w:val="clear" w:color="000000" w:fill="FFFFFF"/>
            <w:noWrap/>
            <w:vAlign w:val="bottom"/>
            <w:hideMark/>
          </w:tcPr>
          <w:p w14:paraId="7FA86D1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2000-Q1</w:t>
            </w:r>
          </w:p>
        </w:tc>
        <w:tc>
          <w:tcPr>
            <w:tcW w:w="956" w:type="dxa"/>
            <w:tcBorders>
              <w:top w:val="nil"/>
              <w:left w:val="nil"/>
              <w:bottom w:val="nil"/>
              <w:right w:val="nil"/>
            </w:tcBorders>
            <w:shd w:val="clear" w:color="000000" w:fill="FFFFFF"/>
            <w:noWrap/>
            <w:vAlign w:val="bottom"/>
            <w:hideMark/>
          </w:tcPr>
          <w:p w14:paraId="7B6EE94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2020-Q4</w:t>
            </w:r>
          </w:p>
        </w:tc>
        <w:tc>
          <w:tcPr>
            <w:tcW w:w="574" w:type="dxa"/>
            <w:tcBorders>
              <w:top w:val="nil"/>
              <w:left w:val="nil"/>
              <w:bottom w:val="nil"/>
              <w:right w:val="nil"/>
            </w:tcBorders>
            <w:shd w:val="clear" w:color="000000" w:fill="FFFFFF"/>
            <w:noWrap/>
            <w:vAlign w:val="bottom"/>
            <w:hideMark/>
          </w:tcPr>
          <w:p w14:paraId="68F7EB7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84</w:t>
            </w:r>
          </w:p>
        </w:tc>
      </w:tr>
      <w:tr w:rsidR="00AE739C" w:rsidRPr="00935EAC" w14:paraId="1541F710" w14:textId="77777777" w:rsidTr="0073265E">
        <w:trPr>
          <w:trHeight w:val="170"/>
        </w:trPr>
        <w:tc>
          <w:tcPr>
            <w:tcW w:w="960" w:type="dxa"/>
            <w:tcBorders>
              <w:top w:val="nil"/>
              <w:left w:val="nil"/>
              <w:bottom w:val="nil"/>
              <w:right w:val="nil"/>
            </w:tcBorders>
            <w:shd w:val="clear" w:color="000000" w:fill="FFFFFF"/>
            <w:noWrap/>
            <w:vAlign w:val="bottom"/>
            <w:hideMark/>
          </w:tcPr>
          <w:p w14:paraId="68A9C86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56</w:t>
            </w:r>
          </w:p>
        </w:tc>
        <w:tc>
          <w:tcPr>
            <w:tcW w:w="2254" w:type="dxa"/>
            <w:tcBorders>
              <w:top w:val="nil"/>
              <w:left w:val="nil"/>
              <w:bottom w:val="nil"/>
              <w:right w:val="nil"/>
            </w:tcBorders>
            <w:shd w:val="clear" w:color="000000" w:fill="FFFFFF"/>
            <w:noWrap/>
            <w:vAlign w:val="bottom"/>
            <w:hideMark/>
          </w:tcPr>
          <w:p w14:paraId="547A4D6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Peru</w:t>
            </w:r>
          </w:p>
        </w:tc>
        <w:tc>
          <w:tcPr>
            <w:tcW w:w="1090" w:type="dxa"/>
            <w:tcBorders>
              <w:top w:val="nil"/>
              <w:left w:val="nil"/>
              <w:bottom w:val="nil"/>
              <w:right w:val="nil"/>
            </w:tcBorders>
            <w:shd w:val="clear" w:color="000000" w:fill="FFFFFF"/>
            <w:noWrap/>
            <w:vAlign w:val="bottom"/>
            <w:hideMark/>
          </w:tcPr>
          <w:p w14:paraId="72F8E39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-3.375</w:t>
            </w:r>
          </w:p>
        </w:tc>
        <w:tc>
          <w:tcPr>
            <w:tcW w:w="1030" w:type="dxa"/>
            <w:tcBorders>
              <w:top w:val="nil"/>
              <w:left w:val="nil"/>
              <w:bottom w:val="nil"/>
              <w:right w:val="nil"/>
            </w:tcBorders>
            <w:shd w:val="clear" w:color="000000" w:fill="FFFFFF"/>
            <w:noWrap/>
            <w:vAlign w:val="bottom"/>
            <w:hideMark/>
          </w:tcPr>
          <w:p w14:paraId="513F793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3.359</w:t>
            </w:r>
          </w:p>
        </w:tc>
        <w:tc>
          <w:tcPr>
            <w:tcW w:w="1090" w:type="dxa"/>
            <w:tcBorders>
              <w:top w:val="nil"/>
              <w:left w:val="nil"/>
              <w:bottom w:val="nil"/>
              <w:right w:val="nil"/>
            </w:tcBorders>
            <w:shd w:val="clear" w:color="000000" w:fill="FFFFFF"/>
            <w:noWrap/>
            <w:vAlign w:val="bottom"/>
            <w:hideMark/>
          </w:tcPr>
          <w:p w14:paraId="0B19DB5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-11.380</w:t>
            </w:r>
          </w:p>
        </w:tc>
        <w:tc>
          <w:tcPr>
            <w:tcW w:w="1090" w:type="dxa"/>
            <w:tcBorders>
              <w:top w:val="nil"/>
              <w:left w:val="nil"/>
              <w:bottom w:val="nil"/>
              <w:right w:val="nil"/>
            </w:tcBorders>
            <w:shd w:val="clear" w:color="000000" w:fill="FFFFFF"/>
            <w:noWrap/>
            <w:vAlign w:val="bottom"/>
            <w:hideMark/>
          </w:tcPr>
          <w:p w14:paraId="7A017B5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6.349</w:t>
            </w:r>
          </w:p>
        </w:tc>
        <w:tc>
          <w:tcPr>
            <w:tcW w:w="956" w:type="dxa"/>
            <w:tcBorders>
              <w:top w:val="nil"/>
              <w:left w:val="nil"/>
              <w:bottom w:val="nil"/>
              <w:right w:val="nil"/>
            </w:tcBorders>
            <w:shd w:val="clear" w:color="000000" w:fill="FFFFFF"/>
            <w:noWrap/>
            <w:vAlign w:val="bottom"/>
            <w:hideMark/>
          </w:tcPr>
          <w:p w14:paraId="25E4A7E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1979-Q1</w:t>
            </w:r>
          </w:p>
        </w:tc>
        <w:tc>
          <w:tcPr>
            <w:tcW w:w="956" w:type="dxa"/>
            <w:tcBorders>
              <w:top w:val="nil"/>
              <w:left w:val="nil"/>
              <w:bottom w:val="nil"/>
              <w:right w:val="nil"/>
            </w:tcBorders>
            <w:shd w:val="clear" w:color="000000" w:fill="FFFFFF"/>
            <w:noWrap/>
            <w:vAlign w:val="bottom"/>
            <w:hideMark/>
          </w:tcPr>
          <w:p w14:paraId="500AC5F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2020-Q1</w:t>
            </w:r>
          </w:p>
        </w:tc>
        <w:tc>
          <w:tcPr>
            <w:tcW w:w="574" w:type="dxa"/>
            <w:tcBorders>
              <w:top w:val="nil"/>
              <w:left w:val="nil"/>
              <w:bottom w:val="nil"/>
              <w:right w:val="nil"/>
            </w:tcBorders>
            <w:shd w:val="clear" w:color="000000" w:fill="FFFFFF"/>
            <w:noWrap/>
            <w:vAlign w:val="bottom"/>
            <w:hideMark/>
          </w:tcPr>
          <w:p w14:paraId="4858E47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165</w:t>
            </w:r>
          </w:p>
        </w:tc>
      </w:tr>
      <w:tr w:rsidR="00AE739C" w:rsidRPr="00935EAC" w14:paraId="7F1A58B9" w14:textId="77777777" w:rsidTr="0073265E">
        <w:trPr>
          <w:trHeight w:val="170"/>
        </w:trPr>
        <w:tc>
          <w:tcPr>
            <w:tcW w:w="960" w:type="dxa"/>
            <w:tcBorders>
              <w:top w:val="nil"/>
              <w:left w:val="nil"/>
              <w:bottom w:val="nil"/>
              <w:right w:val="nil"/>
            </w:tcBorders>
            <w:shd w:val="clear" w:color="000000" w:fill="FFFFFF"/>
            <w:noWrap/>
            <w:vAlign w:val="bottom"/>
            <w:hideMark/>
          </w:tcPr>
          <w:p w14:paraId="1EAFD30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57</w:t>
            </w:r>
          </w:p>
        </w:tc>
        <w:tc>
          <w:tcPr>
            <w:tcW w:w="2254" w:type="dxa"/>
            <w:tcBorders>
              <w:top w:val="nil"/>
              <w:left w:val="nil"/>
              <w:bottom w:val="nil"/>
              <w:right w:val="nil"/>
            </w:tcBorders>
            <w:shd w:val="clear" w:color="000000" w:fill="FFFFFF"/>
            <w:noWrap/>
            <w:vAlign w:val="bottom"/>
            <w:hideMark/>
          </w:tcPr>
          <w:p w14:paraId="5A3F0EC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Philippines</w:t>
            </w:r>
          </w:p>
        </w:tc>
        <w:tc>
          <w:tcPr>
            <w:tcW w:w="1090" w:type="dxa"/>
            <w:tcBorders>
              <w:top w:val="nil"/>
              <w:left w:val="nil"/>
              <w:bottom w:val="nil"/>
              <w:right w:val="nil"/>
            </w:tcBorders>
            <w:shd w:val="clear" w:color="000000" w:fill="FFFFFF"/>
            <w:noWrap/>
            <w:vAlign w:val="bottom"/>
            <w:hideMark/>
          </w:tcPr>
          <w:p w14:paraId="4025D4D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-0.973</w:t>
            </w:r>
          </w:p>
        </w:tc>
        <w:tc>
          <w:tcPr>
            <w:tcW w:w="1030" w:type="dxa"/>
            <w:tcBorders>
              <w:top w:val="nil"/>
              <w:left w:val="nil"/>
              <w:bottom w:val="nil"/>
              <w:right w:val="nil"/>
            </w:tcBorders>
            <w:shd w:val="clear" w:color="000000" w:fill="FFFFFF"/>
            <w:noWrap/>
            <w:vAlign w:val="bottom"/>
            <w:hideMark/>
          </w:tcPr>
          <w:p w14:paraId="0662DD9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4.037</w:t>
            </w:r>
          </w:p>
        </w:tc>
        <w:tc>
          <w:tcPr>
            <w:tcW w:w="1090" w:type="dxa"/>
            <w:tcBorders>
              <w:top w:val="nil"/>
              <w:left w:val="nil"/>
              <w:bottom w:val="nil"/>
              <w:right w:val="nil"/>
            </w:tcBorders>
            <w:shd w:val="clear" w:color="000000" w:fill="FFFFFF"/>
            <w:noWrap/>
            <w:vAlign w:val="bottom"/>
            <w:hideMark/>
          </w:tcPr>
          <w:p w14:paraId="19DC17D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-11.834</w:t>
            </w:r>
          </w:p>
        </w:tc>
        <w:tc>
          <w:tcPr>
            <w:tcW w:w="1090" w:type="dxa"/>
            <w:tcBorders>
              <w:top w:val="nil"/>
              <w:left w:val="nil"/>
              <w:bottom w:val="nil"/>
              <w:right w:val="nil"/>
            </w:tcBorders>
            <w:shd w:val="clear" w:color="000000" w:fill="FFFFFF"/>
            <w:noWrap/>
            <w:vAlign w:val="bottom"/>
            <w:hideMark/>
          </w:tcPr>
          <w:p w14:paraId="2B8B641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7.061</w:t>
            </w:r>
          </w:p>
        </w:tc>
        <w:tc>
          <w:tcPr>
            <w:tcW w:w="956" w:type="dxa"/>
            <w:tcBorders>
              <w:top w:val="nil"/>
              <w:left w:val="nil"/>
              <w:bottom w:val="nil"/>
              <w:right w:val="nil"/>
            </w:tcBorders>
            <w:shd w:val="clear" w:color="000000" w:fill="FFFFFF"/>
            <w:noWrap/>
            <w:vAlign w:val="bottom"/>
            <w:hideMark/>
          </w:tcPr>
          <w:p w14:paraId="1D8C20D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1977-Q2</w:t>
            </w:r>
          </w:p>
        </w:tc>
        <w:tc>
          <w:tcPr>
            <w:tcW w:w="956" w:type="dxa"/>
            <w:tcBorders>
              <w:top w:val="nil"/>
              <w:left w:val="nil"/>
              <w:bottom w:val="nil"/>
              <w:right w:val="nil"/>
            </w:tcBorders>
            <w:shd w:val="clear" w:color="000000" w:fill="FFFFFF"/>
            <w:noWrap/>
            <w:vAlign w:val="bottom"/>
            <w:hideMark/>
          </w:tcPr>
          <w:p w14:paraId="23D4F1C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2020-Q1</w:t>
            </w:r>
          </w:p>
        </w:tc>
        <w:tc>
          <w:tcPr>
            <w:tcW w:w="574" w:type="dxa"/>
            <w:tcBorders>
              <w:top w:val="nil"/>
              <w:left w:val="nil"/>
              <w:bottom w:val="nil"/>
              <w:right w:val="nil"/>
            </w:tcBorders>
            <w:shd w:val="clear" w:color="000000" w:fill="FFFFFF"/>
            <w:noWrap/>
            <w:vAlign w:val="bottom"/>
            <w:hideMark/>
          </w:tcPr>
          <w:p w14:paraId="3B4C746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165</w:t>
            </w:r>
          </w:p>
        </w:tc>
      </w:tr>
      <w:tr w:rsidR="00AE739C" w:rsidRPr="00935EAC" w14:paraId="25E04DBD" w14:textId="77777777" w:rsidTr="0073265E">
        <w:trPr>
          <w:trHeight w:val="170"/>
        </w:trPr>
        <w:tc>
          <w:tcPr>
            <w:tcW w:w="960" w:type="dxa"/>
            <w:tcBorders>
              <w:top w:val="nil"/>
              <w:left w:val="nil"/>
              <w:bottom w:val="nil"/>
              <w:right w:val="nil"/>
            </w:tcBorders>
            <w:shd w:val="clear" w:color="000000" w:fill="FFFFFF"/>
            <w:noWrap/>
            <w:vAlign w:val="bottom"/>
            <w:hideMark/>
          </w:tcPr>
          <w:p w14:paraId="30CAB21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58</w:t>
            </w:r>
          </w:p>
        </w:tc>
        <w:tc>
          <w:tcPr>
            <w:tcW w:w="2254" w:type="dxa"/>
            <w:tcBorders>
              <w:top w:val="nil"/>
              <w:left w:val="nil"/>
              <w:bottom w:val="nil"/>
              <w:right w:val="nil"/>
            </w:tcBorders>
            <w:shd w:val="clear" w:color="000000" w:fill="FFFFFF"/>
            <w:noWrap/>
            <w:vAlign w:val="bottom"/>
            <w:hideMark/>
          </w:tcPr>
          <w:p w14:paraId="6B1EB9A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Poland</w:t>
            </w:r>
          </w:p>
        </w:tc>
        <w:tc>
          <w:tcPr>
            <w:tcW w:w="1090" w:type="dxa"/>
            <w:tcBorders>
              <w:top w:val="nil"/>
              <w:left w:val="nil"/>
              <w:bottom w:val="nil"/>
              <w:right w:val="nil"/>
            </w:tcBorders>
            <w:shd w:val="clear" w:color="000000" w:fill="FFFFFF"/>
            <w:noWrap/>
            <w:vAlign w:val="bottom"/>
            <w:hideMark/>
          </w:tcPr>
          <w:p w14:paraId="14C5165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-2.563</w:t>
            </w:r>
          </w:p>
        </w:tc>
        <w:tc>
          <w:tcPr>
            <w:tcW w:w="1030" w:type="dxa"/>
            <w:tcBorders>
              <w:top w:val="nil"/>
              <w:left w:val="nil"/>
              <w:bottom w:val="nil"/>
              <w:right w:val="nil"/>
            </w:tcBorders>
            <w:shd w:val="clear" w:color="000000" w:fill="FFFFFF"/>
            <w:noWrap/>
            <w:vAlign w:val="bottom"/>
            <w:hideMark/>
          </w:tcPr>
          <w:p w14:paraId="67F68CA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3.316</w:t>
            </w:r>
          </w:p>
        </w:tc>
        <w:tc>
          <w:tcPr>
            <w:tcW w:w="1090" w:type="dxa"/>
            <w:tcBorders>
              <w:top w:val="nil"/>
              <w:left w:val="nil"/>
              <w:bottom w:val="nil"/>
              <w:right w:val="nil"/>
            </w:tcBorders>
            <w:shd w:val="clear" w:color="000000" w:fill="FFFFFF"/>
            <w:noWrap/>
            <w:vAlign w:val="bottom"/>
            <w:hideMark/>
          </w:tcPr>
          <w:p w14:paraId="787DB67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-8.720</w:t>
            </w:r>
          </w:p>
        </w:tc>
        <w:tc>
          <w:tcPr>
            <w:tcW w:w="1090" w:type="dxa"/>
            <w:tcBorders>
              <w:top w:val="nil"/>
              <w:left w:val="nil"/>
              <w:bottom w:val="nil"/>
              <w:right w:val="nil"/>
            </w:tcBorders>
            <w:shd w:val="clear" w:color="000000" w:fill="FFFFFF"/>
            <w:noWrap/>
            <w:vAlign w:val="bottom"/>
            <w:hideMark/>
          </w:tcPr>
          <w:p w14:paraId="09CE7D2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17.707</w:t>
            </w:r>
          </w:p>
        </w:tc>
        <w:tc>
          <w:tcPr>
            <w:tcW w:w="956" w:type="dxa"/>
            <w:tcBorders>
              <w:top w:val="nil"/>
              <w:left w:val="nil"/>
              <w:bottom w:val="nil"/>
              <w:right w:val="nil"/>
            </w:tcBorders>
            <w:shd w:val="clear" w:color="000000" w:fill="FFFFFF"/>
            <w:noWrap/>
            <w:vAlign w:val="bottom"/>
            <w:hideMark/>
          </w:tcPr>
          <w:p w14:paraId="51A40D5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1985-Q1</w:t>
            </w:r>
          </w:p>
        </w:tc>
        <w:tc>
          <w:tcPr>
            <w:tcW w:w="956" w:type="dxa"/>
            <w:tcBorders>
              <w:top w:val="nil"/>
              <w:left w:val="nil"/>
              <w:bottom w:val="nil"/>
              <w:right w:val="nil"/>
            </w:tcBorders>
            <w:shd w:val="clear" w:color="000000" w:fill="FFFFFF"/>
            <w:noWrap/>
            <w:vAlign w:val="bottom"/>
            <w:hideMark/>
          </w:tcPr>
          <w:p w14:paraId="1DA1C4F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620CF35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160</w:t>
            </w:r>
          </w:p>
        </w:tc>
      </w:tr>
      <w:tr w:rsidR="00AE739C" w:rsidRPr="00935EAC" w14:paraId="7F07AB7C" w14:textId="77777777" w:rsidTr="0073265E">
        <w:trPr>
          <w:trHeight w:val="170"/>
        </w:trPr>
        <w:tc>
          <w:tcPr>
            <w:tcW w:w="960" w:type="dxa"/>
            <w:tcBorders>
              <w:top w:val="nil"/>
              <w:left w:val="nil"/>
              <w:bottom w:val="nil"/>
              <w:right w:val="nil"/>
            </w:tcBorders>
            <w:shd w:val="clear" w:color="000000" w:fill="FFFFFF"/>
            <w:noWrap/>
            <w:vAlign w:val="bottom"/>
            <w:hideMark/>
          </w:tcPr>
          <w:p w14:paraId="29130C2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59</w:t>
            </w:r>
          </w:p>
        </w:tc>
        <w:tc>
          <w:tcPr>
            <w:tcW w:w="2254" w:type="dxa"/>
            <w:tcBorders>
              <w:top w:val="nil"/>
              <w:left w:val="nil"/>
              <w:bottom w:val="nil"/>
              <w:right w:val="nil"/>
            </w:tcBorders>
            <w:shd w:val="clear" w:color="000000" w:fill="FFFFFF"/>
            <w:noWrap/>
            <w:vAlign w:val="bottom"/>
            <w:hideMark/>
          </w:tcPr>
          <w:p w14:paraId="5AC6DCE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Portugal</w:t>
            </w:r>
          </w:p>
        </w:tc>
        <w:tc>
          <w:tcPr>
            <w:tcW w:w="1090" w:type="dxa"/>
            <w:tcBorders>
              <w:top w:val="nil"/>
              <w:left w:val="nil"/>
              <w:bottom w:val="nil"/>
              <w:right w:val="nil"/>
            </w:tcBorders>
            <w:shd w:val="clear" w:color="000000" w:fill="FFFFFF"/>
            <w:noWrap/>
            <w:vAlign w:val="bottom"/>
            <w:hideMark/>
          </w:tcPr>
          <w:p w14:paraId="1A14AF5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-4.017</w:t>
            </w:r>
          </w:p>
        </w:tc>
        <w:tc>
          <w:tcPr>
            <w:tcW w:w="1030" w:type="dxa"/>
            <w:tcBorders>
              <w:top w:val="nil"/>
              <w:left w:val="nil"/>
              <w:bottom w:val="nil"/>
              <w:right w:val="nil"/>
            </w:tcBorders>
            <w:shd w:val="clear" w:color="000000" w:fill="FFFFFF"/>
            <w:noWrap/>
            <w:vAlign w:val="bottom"/>
            <w:hideMark/>
          </w:tcPr>
          <w:p w14:paraId="2697129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5.318</w:t>
            </w:r>
          </w:p>
        </w:tc>
        <w:tc>
          <w:tcPr>
            <w:tcW w:w="1090" w:type="dxa"/>
            <w:tcBorders>
              <w:top w:val="nil"/>
              <w:left w:val="nil"/>
              <w:bottom w:val="nil"/>
              <w:right w:val="nil"/>
            </w:tcBorders>
            <w:shd w:val="clear" w:color="000000" w:fill="FFFFFF"/>
            <w:noWrap/>
            <w:vAlign w:val="bottom"/>
            <w:hideMark/>
          </w:tcPr>
          <w:p w14:paraId="0CB0117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-21.410</w:t>
            </w:r>
          </w:p>
        </w:tc>
        <w:tc>
          <w:tcPr>
            <w:tcW w:w="1090" w:type="dxa"/>
            <w:tcBorders>
              <w:top w:val="nil"/>
              <w:left w:val="nil"/>
              <w:bottom w:val="nil"/>
              <w:right w:val="nil"/>
            </w:tcBorders>
            <w:shd w:val="clear" w:color="000000" w:fill="FFFFFF"/>
            <w:noWrap/>
            <w:vAlign w:val="bottom"/>
            <w:hideMark/>
          </w:tcPr>
          <w:p w14:paraId="599B562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4.682</w:t>
            </w:r>
          </w:p>
        </w:tc>
        <w:tc>
          <w:tcPr>
            <w:tcW w:w="956" w:type="dxa"/>
            <w:tcBorders>
              <w:top w:val="nil"/>
              <w:left w:val="nil"/>
              <w:bottom w:val="nil"/>
              <w:right w:val="nil"/>
            </w:tcBorders>
            <w:shd w:val="clear" w:color="000000" w:fill="FFFFFF"/>
            <w:noWrap/>
            <w:vAlign w:val="bottom"/>
            <w:hideMark/>
          </w:tcPr>
          <w:p w14:paraId="3743FD8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1977-Q1</w:t>
            </w:r>
          </w:p>
        </w:tc>
        <w:tc>
          <w:tcPr>
            <w:tcW w:w="956" w:type="dxa"/>
            <w:tcBorders>
              <w:top w:val="nil"/>
              <w:left w:val="nil"/>
              <w:bottom w:val="nil"/>
              <w:right w:val="nil"/>
            </w:tcBorders>
            <w:shd w:val="clear" w:color="000000" w:fill="FFFFFF"/>
            <w:noWrap/>
            <w:vAlign w:val="bottom"/>
            <w:hideMark/>
          </w:tcPr>
          <w:p w14:paraId="466270E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4991F24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192</w:t>
            </w:r>
          </w:p>
        </w:tc>
      </w:tr>
      <w:tr w:rsidR="00AE739C" w:rsidRPr="00935EAC" w14:paraId="5F5B71A8" w14:textId="77777777" w:rsidTr="0073265E">
        <w:trPr>
          <w:trHeight w:val="170"/>
        </w:trPr>
        <w:tc>
          <w:tcPr>
            <w:tcW w:w="960" w:type="dxa"/>
            <w:tcBorders>
              <w:top w:val="nil"/>
              <w:left w:val="nil"/>
              <w:bottom w:val="nil"/>
              <w:right w:val="nil"/>
            </w:tcBorders>
            <w:shd w:val="clear" w:color="000000" w:fill="FFFFFF"/>
            <w:noWrap/>
            <w:vAlign w:val="bottom"/>
            <w:hideMark/>
          </w:tcPr>
          <w:p w14:paraId="644AA84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60</w:t>
            </w:r>
          </w:p>
        </w:tc>
        <w:tc>
          <w:tcPr>
            <w:tcW w:w="2254" w:type="dxa"/>
            <w:tcBorders>
              <w:top w:val="nil"/>
              <w:left w:val="nil"/>
              <w:bottom w:val="nil"/>
              <w:right w:val="nil"/>
            </w:tcBorders>
            <w:shd w:val="clear" w:color="000000" w:fill="FFFFFF"/>
            <w:noWrap/>
            <w:vAlign w:val="bottom"/>
            <w:hideMark/>
          </w:tcPr>
          <w:p w14:paraId="1F25E1B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Romania</w:t>
            </w:r>
          </w:p>
        </w:tc>
        <w:tc>
          <w:tcPr>
            <w:tcW w:w="1090" w:type="dxa"/>
            <w:tcBorders>
              <w:top w:val="nil"/>
              <w:left w:val="nil"/>
              <w:bottom w:val="nil"/>
              <w:right w:val="nil"/>
            </w:tcBorders>
            <w:shd w:val="clear" w:color="000000" w:fill="FFFFFF"/>
            <w:noWrap/>
            <w:vAlign w:val="bottom"/>
            <w:hideMark/>
          </w:tcPr>
          <w:p w14:paraId="0B50047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-5.979</w:t>
            </w:r>
          </w:p>
        </w:tc>
        <w:tc>
          <w:tcPr>
            <w:tcW w:w="1030" w:type="dxa"/>
            <w:tcBorders>
              <w:top w:val="nil"/>
              <w:left w:val="nil"/>
              <w:bottom w:val="nil"/>
              <w:right w:val="nil"/>
            </w:tcBorders>
            <w:shd w:val="clear" w:color="000000" w:fill="FFFFFF"/>
            <w:noWrap/>
            <w:vAlign w:val="bottom"/>
            <w:hideMark/>
          </w:tcPr>
          <w:p w14:paraId="17C90A4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3.711</w:t>
            </w:r>
          </w:p>
        </w:tc>
        <w:tc>
          <w:tcPr>
            <w:tcW w:w="1090" w:type="dxa"/>
            <w:tcBorders>
              <w:top w:val="nil"/>
              <w:left w:val="nil"/>
              <w:bottom w:val="nil"/>
              <w:right w:val="nil"/>
            </w:tcBorders>
            <w:shd w:val="clear" w:color="000000" w:fill="FFFFFF"/>
            <w:noWrap/>
            <w:vAlign w:val="bottom"/>
            <w:hideMark/>
          </w:tcPr>
          <w:p w14:paraId="169CEC1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-21.533</w:t>
            </w:r>
          </w:p>
        </w:tc>
        <w:tc>
          <w:tcPr>
            <w:tcW w:w="1090" w:type="dxa"/>
            <w:tcBorders>
              <w:top w:val="nil"/>
              <w:left w:val="nil"/>
              <w:bottom w:val="nil"/>
              <w:right w:val="nil"/>
            </w:tcBorders>
            <w:shd w:val="clear" w:color="000000" w:fill="FFFFFF"/>
            <w:noWrap/>
            <w:vAlign w:val="bottom"/>
            <w:hideMark/>
          </w:tcPr>
          <w:p w14:paraId="1D1ADA9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2.870</w:t>
            </w:r>
          </w:p>
        </w:tc>
        <w:tc>
          <w:tcPr>
            <w:tcW w:w="956" w:type="dxa"/>
            <w:tcBorders>
              <w:top w:val="nil"/>
              <w:left w:val="nil"/>
              <w:bottom w:val="nil"/>
              <w:right w:val="nil"/>
            </w:tcBorders>
            <w:shd w:val="clear" w:color="000000" w:fill="FFFFFF"/>
            <w:noWrap/>
            <w:vAlign w:val="bottom"/>
            <w:hideMark/>
          </w:tcPr>
          <w:p w14:paraId="2A40CCB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1991-Q1</w:t>
            </w:r>
          </w:p>
        </w:tc>
        <w:tc>
          <w:tcPr>
            <w:tcW w:w="956" w:type="dxa"/>
            <w:tcBorders>
              <w:top w:val="nil"/>
              <w:left w:val="nil"/>
              <w:bottom w:val="nil"/>
              <w:right w:val="nil"/>
            </w:tcBorders>
            <w:shd w:val="clear" w:color="000000" w:fill="FFFFFF"/>
            <w:noWrap/>
            <w:vAlign w:val="bottom"/>
            <w:hideMark/>
          </w:tcPr>
          <w:p w14:paraId="12F9631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045C2DF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136</w:t>
            </w:r>
          </w:p>
        </w:tc>
      </w:tr>
      <w:tr w:rsidR="00AE739C" w:rsidRPr="00935EAC" w14:paraId="5AD48E94" w14:textId="77777777" w:rsidTr="0073265E">
        <w:trPr>
          <w:trHeight w:val="170"/>
        </w:trPr>
        <w:tc>
          <w:tcPr>
            <w:tcW w:w="960" w:type="dxa"/>
            <w:tcBorders>
              <w:top w:val="nil"/>
              <w:left w:val="nil"/>
              <w:bottom w:val="nil"/>
              <w:right w:val="nil"/>
            </w:tcBorders>
            <w:shd w:val="clear" w:color="000000" w:fill="FFFFFF"/>
            <w:noWrap/>
            <w:vAlign w:val="bottom"/>
            <w:hideMark/>
          </w:tcPr>
          <w:p w14:paraId="5224249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61</w:t>
            </w:r>
          </w:p>
        </w:tc>
        <w:tc>
          <w:tcPr>
            <w:tcW w:w="2254" w:type="dxa"/>
            <w:tcBorders>
              <w:top w:val="nil"/>
              <w:left w:val="nil"/>
              <w:bottom w:val="nil"/>
              <w:right w:val="nil"/>
            </w:tcBorders>
            <w:shd w:val="clear" w:color="000000" w:fill="FFFFFF"/>
            <w:noWrap/>
            <w:vAlign w:val="bottom"/>
            <w:hideMark/>
          </w:tcPr>
          <w:p w14:paraId="4F9C26D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Russian Federation</w:t>
            </w:r>
          </w:p>
        </w:tc>
        <w:tc>
          <w:tcPr>
            <w:tcW w:w="1090" w:type="dxa"/>
            <w:tcBorders>
              <w:top w:val="nil"/>
              <w:left w:val="nil"/>
              <w:bottom w:val="nil"/>
              <w:right w:val="nil"/>
            </w:tcBorders>
            <w:shd w:val="clear" w:color="000000" w:fill="FFFFFF"/>
            <w:noWrap/>
            <w:vAlign w:val="bottom"/>
            <w:hideMark/>
          </w:tcPr>
          <w:p w14:paraId="348B079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5.652</w:t>
            </w:r>
          </w:p>
        </w:tc>
        <w:tc>
          <w:tcPr>
            <w:tcW w:w="1030" w:type="dxa"/>
            <w:tcBorders>
              <w:top w:val="nil"/>
              <w:left w:val="nil"/>
              <w:bottom w:val="nil"/>
              <w:right w:val="nil"/>
            </w:tcBorders>
            <w:shd w:val="clear" w:color="000000" w:fill="FFFFFF"/>
            <w:noWrap/>
            <w:vAlign w:val="bottom"/>
            <w:hideMark/>
          </w:tcPr>
          <w:p w14:paraId="54AEB42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4.453</w:t>
            </w:r>
          </w:p>
        </w:tc>
        <w:tc>
          <w:tcPr>
            <w:tcW w:w="1090" w:type="dxa"/>
            <w:tcBorders>
              <w:top w:val="nil"/>
              <w:left w:val="nil"/>
              <w:bottom w:val="nil"/>
              <w:right w:val="nil"/>
            </w:tcBorders>
            <w:shd w:val="clear" w:color="000000" w:fill="FFFFFF"/>
            <w:noWrap/>
            <w:vAlign w:val="bottom"/>
            <w:hideMark/>
          </w:tcPr>
          <w:p w14:paraId="4D42DC0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-2.449</w:t>
            </w:r>
          </w:p>
        </w:tc>
        <w:tc>
          <w:tcPr>
            <w:tcW w:w="1090" w:type="dxa"/>
            <w:tcBorders>
              <w:top w:val="nil"/>
              <w:left w:val="nil"/>
              <w:bottom w:val="nil"/>
              <w:right w:val="nil"/>
            </w:tcBorders>
            <w:shd w:val="clear" w:color="000000" w:fill="FFFFFF"/>
            <w:noWrap/>
            <w:vAlign w:val="bottom"/>
            <w:hideMark/>
          </w:tcPr>
          <w:p w14:paraId="1900669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19.539</w:t>
            </w:r>
          </w:p>
        </w:tc>
        <w:tc>
          <w:tcPr>
            <w:tcW w:w="956" w:type="dxa"/>
            <w:tcBorders>
              <w:top w:val="nil"/>
              <w:left w:val="nil"/>
              <w:bottom w:val="nil"/>
              <w:right w:val="nil"/>
            </w:tcBorders>
            <w:shd w:val="clear" w:color="000000" w:fill="FFFFFF"/>
            <w:noWrap/>
            <w:vAlign w:val="bottom"/>
            <w:hideMark/>
          </w:tcPr>
          <w:p w14:paraId="3F6C8B7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1994-Q1</w:t>
            </w:r>
          </w:p>
        </w:tc>
        <w:tc>
          <w:tcPr>
            <w:tcW w:w="956" w:type="dxa"/>
            <w:tcBorders>
              <w:top w:val="nil"/>
              <w:left w:val="nil"/>
              <w:bottom w:val="nil"/>
              <w:right w:val="nil"/>
            </w:tcBorders>
            <w:shd w:val="clear" w:color="000000" w:fill="FFFFFF"/>
            <w:noWrap/>
            <w:vAlign w:val="bottom"/>
            <w:hideMark/>
          </w:tcPr>
          <w:p w14:paraId="422F418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2021-Q3</w:t>
            </w:r>
          </w:p>
        </w:tc>
        <w:tc>
          <w:tcPr>
            <w:tcW w:w="574" w:type="dxa"/>
            <w:tcBorders>
              <w:top w:val="nil"/>
              <w:left w:val="nil"/>
              <w:bottom w:val="nil"/>
              <w:right w:val="nil"/>
            </w:tcBorders>
            <w:shd w:val="clear" w:color="000000" w:fill="FFFFFF"/>
            <w:noWrap/>
            <w:vAlign w:val="bottom"/>
            <w:hideMark/>
          </w:tcPr>
          <w:p w14:paraId="29F2989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111</w:t>
            </w:r>
          </w:p>
        </w:tc>
      </w:tr>
      <w:tr w:rsidR="00AE739C" w:rsidRPr="00935EAC" w14:paraId="0FD406D5" w14:textId="77777777" w:rsidTr="0073265E">
        <w:trPr>
          <w:trHeight w:val="170"/>
        </w:trPr>
        <w:tc>
          <w:tcPr>
            <w:tcW w:w="960" w:type="dxa"/>
            <w:tcBorders>
              <w:top w:val="nil"/>
              <w:left w:val="nil"/>
              <w:bottom w:val="nil"/>
              <w:right w:val="nil"/>
            </w:tcBorders>
            <w:shd w:val="clear" w:color="000000" w:fill="FFFFFF"/>
            <w:noWrap/>
            <w:vAlign w:val="bottom"/>
            <w:hideMark/>
          </w:tcPr>
          <w:p w14:paraId="276EA6A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62</w:t>
            </w:r>
          </w:p>
        </w:tc>
        <w:tc>
          <w:tcPr>
            <w:tcW w:w="2254" w:type="dxa"/>
            <w:tcBorders>
              <w:top w:val="nil"/>
              <w:left w:val="nil"/>
              <w:bottom w:val="nil"/>
              <w:right w:val="nil"/>
            </w:tcBorders>
            <w:shd w:val="clear" w:color="000000" w:fill="FFFFFF"/>
            <w:noWrap/>
            <w:vAlign w:val="bottom"/>
            <w:hideMark/>
          </w:tcPr>
          <w:p w14:paraId="5AFCE55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Saudi Arabia</w:t>
            </w:r>
          </w:p>
        </w:tc>
        <w:tc>
          <w:tcPr>
            <w:tcW w:w="1090" w:type="dxa"/>
            <w:tcBorders>
              <w:top w:val="nil"/>
              <w:left w:val="nil"/>
              <w:bottom w:val="nil"/>
              <w:right w:val="nil"/>
            </w:tcBorders>
            <w:shd w:val="clear" w:color="000000" w:fill="FFFFFF"/>
            <w:noWrap/>
            <w:vAlign w:val="bottom"/>
            <w:hideMark/>
          </w:tcPr>
          <w:p w14:paraId="32F6C75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10.115</w:t>
            </w:r>
          </w:p>
        </w:tc>
        <w:tc>
          <w:tcPr>
            <w:tcW w:w="1030" w:type="dxa"/>
            <w:tcBorders>
              <w:top w:val="nil"/>
              <w:left w:val="nil"/>
              <w:bottom w:val="nil"/>
              <w:right w:val="nil"/>
            </w:tcBorders>
            <w:shd w:val="clear" w:color="000000" w:fill="FFFFFF"/>
            <w:noWrap/>
            <w:vAlign w:val="bottom"/>
            <w:hideMark/>
          </w:tcPr>
          <w:p w14:paraId="404A502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11.971</w:t>
            </w:r>
          </w:p>
        </w:tc>
        <w:tc>
          <w:tcPr>
            <w:tcW w:w="1090" w:type="dxa"/>
            <w:tcBorders>
              <w:top w:val="nil"/>
              <w:left w:val="nil"/>
              <w:bottom w:val="nil"/>
              <w:right w:val="nil"/>
            </w:tcBorders>
            <w:shd w:val="clear" w:color="000000" w:fill="FFFFFF"/>
            <w:noWrap/>
            <w:vAlign w:val="bottom"/>
            <w:hideMark/>
          </w:tcPr>
          <w:p w14:paraId="7DF222E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-13.678</w:t>
            </w:r>
          </w:p>
        </w:tc>
        <w:tc>
          <w:tcPr>
            <w:tcW w:w="1090" w:type="dxa"/>
            <w:tcBorders>
              <w:top w:val="nil"/>
              <w:left w:val="nil"/>
              <w:bottom w:val="nil"/>
              <w:right w:val="nil"/>
            </w:tcBorders>
            <w:shd w:val="clear" w:color="000000" w:fill="FFFFFF"/>
            <w:noWrap/>
            <w:vAlign w:val="bottom"/>
            <w:hideMark/>
          </w:tcPr>
          <w:p w14:paraId="4D31512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36.616</w:t>
            </w:r>
          </w:p>
        </w:tc>
        <w:tc>
          <w:tcPr>
            <w:tcW w:w="956" w:type="dxa"/>
            <w:tcBorders>
              <w:top w:val="nil"/>
              <w:left w:val="nil"/>
              <w:bottom w:val="nil"/>
              <w:right w:val="nil"/>
            </w:tcBorders>
            <w:shd w:val="clear" w:color="000000" w:fill="FFFFFF"/>
            <w:noWrap/>
            <w:vAlign w:val="bottom"/>
            <w:hideMark/>
          </w:tcPr>
          <w:p w14:paraId="78042F2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2006-Q1</w:t>
            </w:r>
          </w:p>
        </w:tc>
        <w:tc>
          <w:tcPr>
            <w:tcW w:w="956" w:type="dxa"/>
            <w:tcBorders>
              <w:top w:val="nil"/>
              <w:left w:val="nil"/>
              <w:bottom w:val="nil"/>
              <w:right w:val="nil"/>
            </w:tcBorders>
            <w:shd w:val="clear" w:color="000000" w:fill="FFFFFF"/>
            <w:noWrap/>
            <w:vAlign w:val="bottom"/>
            <w:hideMark/>
          </w:tcPr>
          <w:p w14:paraId="53918BB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11A8B27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76</w:t>
            </w:r>
          </w:p>
        </w:tc>
      </w:tr>
      <w:tr w:rsidR="00AE739C" w:rsidRPr="00935EAC" w14:paraId="595305FB" w14:textId="77777777" w:rsidTr="0073265E">
        <w:trPr>
          <w:trHeight w:val="170"/>
        </w:trPr>
        <w:tc>
          <w:tcPr>
            <w:tcW w:w="960" w:type="dxa"/>
            <w:tcBorders>
              <w:top w:val="nil"/>
              <w:left w:val="nil"/>
              <w:bottom w:val="nil"/>
              <w:right w:val="nil"/>
            </w:tcBorders>
            <w:shd w:val="clear" w:color="000000" w:fill="FFFFFF"/>
            <w:noWrap/>
            <w:vAlign w:val="bottom"/>
            <w:hideMark/>
          </w:tcPr>
          <w:p w14:paraId="5416CD4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63</w:t>
            </w:r>
          </w:p>
        </w:tc>
        <w:tc>
          <w:tcPr>
            <w:tcW w:w="2254" w:type="dxa"/>
            <w:tcBorders>
              <w:top w:val="nil"/>
              <w:left w:val="nil"/>
              <w:bottom w:val="nil"/>
              <w:right w:val="nil"/>
            </w:tcBorders>
            <w:shd w:val="clear" w:color="000000" w:fill="FFFFFF"/>
            <w:noWrap/>
            <w:vAlign w:val="bottom"/>
            <w:hideMark/>
          </w:tcPr>
          <w:p w14:paraId="09CEFE7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Slovak Republic</w:t>
            </w:r>
          </w:p>
        </w:tc>
        <w:tc>
          <w:tcPr>
            <w:tcW w:w="1090" w:type="dxa"/>
            <w:tcBorders>
              <w:top w:val="nil"/>
              <w:left w:val="nil"/>
              <w:bottom w:val="nil"/>
              <w:right w:val="nil"/>
            </w:tcBorders>
            <w:shd w:val="clear" w:color="000000" w:fill="FFFFFF"/>
            <w:noWrap/>
            <w:vAlign w:val="bottom"/>
            <w:hideMark/>
          </w:tcPr>
          <w:p w14:paraId="65048F2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-3.904</w:t>
            </w:r>
          </w:p>
        </w:tc>
        <w:tc>
          <w:tcPr>
            <w:tcW w:w="1030" w:type="dxa"/>
            <w:tcBorders>
              <w:top w:val="nil"/>
              <w:left w:val="nil"/>
              <w:bottom w:val="nil"/>
              <w:right w:val="nil"/>
            </w:tcBorders>
            <w:shd w:val="clear" w:color="000000" w:fill="FFFFFF"/>
            <w:noWrap/>
            <w:vAlign w:val="bottom"/>
            <w:hideMark/>
          </w:tcPr>
          <w:p w14:paraId="7AF5351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4.201</w:t>
            </w:r>
          </w:p>
        </w:tc>
        <w:tc>
          <w:tcPr>
            <w:tcW w:w="1090" w:type="dxa"/>
            <w:tcBorders>
              <w:top w:val="nil"/>
              <w:left w:val="nil"/>
              <w:bottom w:val="nil"/>
              <w:right w:val="nil"/>
            </w:tcBorders>
            <w:shd w:val="clear" w:color="000000" w:fill="FFFFFF"/>
            <w:noWrap/>
            <w:vAlign w:val="bottom"/>
            <w:hideMark/>
          </w:tcPr>
          <w:p w14:paraId="2C02B6B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-11.890</w:t>
            </w:r>
          </w:p>
        </w:tc>
        <w:tc>
          <w:tcPr>
            <w:tcW w:w="1090" w:type="dxa"/>
            <w:tcBorders>
              <w:top w:val="nil"/>
              <w:left w:val="nil"/>
              <w:bottom w:val="nil"/>
              <w:right w:val="nil"/>
            </w:tcBorders>
            <w:shd w:val="clear" w:color="000000" w:fill="FFFFFF"/>
            <w:noWrap/>
            <w:vAlign w:val="bottom"/>
            <w:hideMark/>
          </w:tcPr>
          <w:p w14:paraId="7F28014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11.874</w:t>
            </w:r>
          </w:p>
        </w:tc>
        <w:tc>
          <w:tcPr>
            <w:tcW w:w="956" w:type="dxa"/>
            <w:tcBorders>
              <w:top w:val="nil"/>
              <w:left w:val="nil"/>
              <w:bottom w:val="nil"/>
              <w:right w:val="nil"/>
            </w:tcBorders>
            <w:shd w:val="clear" w:color="000000" w:fill="FFFFFF"/>
            <w:noWrap/>
            <w:vAlign w:val="bottom"/>
            <w:hideMark/>
          </w:tcPr>
          <w:p w14:paraId="3CC55A6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1993-Q1</w:t>
            </w:r>
          </w:p>
        </w:tc>
        <w:tc>
          <w:tcPr>
            <w:tcW w:w="956" w:type="dxa"/>
            <w:tcBorders>
              <w:top w:val="nil"/>
              <w:left w:val="nil"/>
              <w:bottom w:val="nil"/>
              <w:right w:val="nil"/>
            </w:tcBorders>
            <w:shd w:val="clear" w:color="000000" w:fill="FFFFFF"/>
            <w:noWrap/>
            <w:vAlign w:val="bottom"/>
            <w:hideMark/>
          </w:tcPr>
          <w:p w14:paraId="7A2B07C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5FD7152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128</w:t>
            </w:r>
          </w:p>
        </w:tc>
      </w:tr>
      <w:tr w:rsidR="00AE739C" w:rsidRPr="00935EAC" w14:paraId="3398B5A8" w14:textId="77777777" w:rsidTr="0073265E">
        <w:trPr>
          <w:trHeight w:val="170"/>
        </w:trPr>
        <w:tc>
          <w:tcPr>
            <w:tcW w:w="960" w:type="dxa"/>
            <w:tcBorders>
              <w:top w:val="nil"/>
              <w:left w:val="nil"/>
              <w:bottom w:val="nil"/>
              <w:right w:val="nil"/>
            </w:tcBorders>
            <w:shd w:val="clear" w:color="000000" w:fill="FFFFFF"/>
            <w:noWrap/>
            <w:vAlign w:val="bottom"/>
            <w:hideMark/>
          </w:tcPr>
          <w:p w14:paraId="61194A5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64</w:t>
            </w:r>
          </w:p>
        </w:tc>
        <w:tc>
          <w:tcPr>
            <w:tcW w:w="2254" w:type="dxa"/>
            <w:tcBorders>
              <w:top w:val="nil"/>
              <w:left w:val="nil"/>
              <w:bottom w:val="nil"/>
              <w:right w:val="nil"/>
            </w:tcBorders>
            <w:shd w:val="clear" w:color="000000" w:fill="FFFFFF"/>
            <w:noWrap/>
            <w:vAlign w:val="bottom"/>
            <w:hideMark/>
          </w:tcPr>
          <w:p w14:paraId="2245FBD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Slovenia</w:t>
            </w:r>
          </w:p>
        </w:tc>
        <w:tc>
          <w:tcPr>
            <w:tcW w:w="1090" w:type="dxa"/>
            <w:tcBorders>
              <w:top w:val="nil"/>
              <w:left w:val="nil"/>
              <w:bottom w:val="nil"/>
              <w:right w:val="nil"/>
            </w:tcBorders>
            <w:shd w:val="clear" w:color="000000" w:fill="FFFFFF"/>
            <w:noWrap/>
            <w:vAlign w:val="bottom"/>
            <w:hideMark/>
          </w:tcPr>
          <w:p w14:paraId="71DB5A3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1.082</w:t>
            </w:r>
          </w:p>
        </w:tc>
        <w:tc>
          <w:tcPr>
            <w:tcW w:w="1030" w:type="dxa"/>
            <w:tcBorders>
              <w:top w:val="nil"/>
              <w:left w:val="nil"/>
              <w:bottom w:val="nil"/>
              <w:right w:val="nil"/>
            </w:tcBorders>
            <w:shd w:val="clear" w:color="000000" w:fill="FFFFFF"/>
            <w:noWrap/>
            <w:vAlign w:val="bottom"/>
            <w:hideMark/>
          </w:tcPr>
          <w:p w14:paraId="07200A0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3.846</w:t>
            </w:r>
          </w:p>
        </w:tc>
        <w:tc>
          <w:tcPr>
            <w:tcW w:w="1090" w:type="dxa"/>
            <w:tcBorders>
              <w:top w:val="nil"/>
              <w:left w:val="nil"/>
              <w:bottom w:val="nil"/>
              <w:right w:val="nil"/>
            </w:tcBorders>
            <w:shd w:val="clear" w:color="000000" w:fill="FFFFFF"/>
            <w:noWrap/>
            <w:vAlign w:val="bottom"/>
            <w:hideMark/>
          </w:tcPr>
          <w:p w14:paraId="732C9A1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-10.352</w:t>
            </w:r>
          </w:p>
        </w:tc>
        <w:tc>
          <w:tcPr>
            <w:tcW w:w="1090" w:type="dxa"/>
            <w:tcBorders>
              <w:top w:val="nil"/>
              <w:left w:val="nil"/>
              <w:bottom w:val="nil"/>
              <w:right w:val="nil"/>
            </w:tcBorders>
            <w:shd w:val="clear" w:color="000000" w:fill="FFFFFF"/>
            <w:noWrap/>
            <w:vAlign w:val="bottom"/>
            <w:hideMark/>
          </w:tcPr>
          <w:p w14:paraId="1121048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9.246</w:t>
            </w:r>
          </w:p>
        </w:tc>
        <w:tc>
          <w:tcPr>
            <w:tcW w:w="956" w:type="dxa"/>
            <w:tcBorders>
              <w:top w:val="nil"/>
              <w:left w:val="nil"/>
              <w:bottom w:val="nil"/>
              <w:right w:val="nil"/>
            </w:tcBorders>
            <w:shd w:val="clear" w:color="000000" w:fill="FFFFFF"/>
            <w:noWrap/>
            <w:vAlign w:val="bottom"/>
            <w:hideMark/>
          </w:tcPr>
          <w:p w14:paraId="3AB79FA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1995-Q1</w:t>
            </w:r>
          </w:p>
        </w:tc>
        <w:tc>
          <w:tcPr>
            <w:tcW w:w="956" w:type="dxa"/>
            <w:tcBorders>
              <w:top w:val="nil"/>
              <w:left w:val="nil"/>
              <w:bottom w:val="nil"/>
              <w:right w:val="nil"/>
            </w:tcBorders>
            <w:shd w:val="clear" w:color="000000" w:fill="FFFFFF"/>
            <w:noWrap/>
            <w:vAlign w:val="bottom"/>
            <w:hideMark/>
          </w:tcPr>
          <w:p w14:paraId="3174F07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6E399F1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120</w:t>
            </w:r>
          </w:p>
        </w:tc>
      </w:tr>
      <w:tr w:rsidR="00AE739C" w:rsidRPr="00935EAC" w14:paraId="16D68202" w14:textId="77777777" w:rsidTr="0073265E">
        <w:trPr>
          <w:trHeight w:val="170"/>
        </w:trPr>
        <w:tc>
          <w:tcPr>
            <w:tcW w:w="960" w:type="dxa"/>
            <w:tcBorders>
              <w:top w:val="nil"/>
              <w:left w:val="nil"/>
              <w:bottom w:val="nil"/>
              <w:right w:val="nil"/>
            </w:tcBorders>
            <w:shd w:val="clear" w:color="000000" w:fill="FFFFFF"/>
            <w:noWrap/>
            <w:vAlign w:val="bottom"/>
            <w:hideMark/>
          </w:tcPr>
          <w:p w14:paraId="047DBD6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65</w:t>
            </w:r>
          </w:p>
        </w:tc>
        <w:tc>
          <w:tcPr>
            <w:tcW w:w="2254" w:type="dxa"/>
            <w:tcBorders>
              <w:top w:val="nil"/>
              <w:left w:val="nil"/>
              <w:bottom w:val="nil"/>
              <w:right w:val="nil"/>
            </w:tcBorders>
            <w:shd w:val="clear" w:color="000000" w:fill="FFFFFF"/>
            <w:noWrap/>
            <w:vAlign w:val="bottom"/>
            <w:hideMark/>
          </w:tcPr>
          <w:p w14:paraId="66D719C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South Africa</w:t>
            </w:r>
          </w:p>
        </w:tc>
        <w:tc>
          <w:tcPr>
            <w:tcW w:w="1090" w:type="dxa"/>
            <w:tcBorders>
              <w:top w:val="nil"/>
              <w:left w:val="nil"/>
              <w:bottom w:val="nil"/>
              <w:right w:val="nil"/>
            </w:tcBorders>
            <w:shd w:val="clear" w:color="000000" w:fill="FFFFFF"/>
            <w:noWrap/>
            <w:vAlign w:val="bottom"/>
            <w:hideMark/>
          </w:tcPr>
          <w:p w14:paraId="6505354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-1.026</w:t>
            </w:r>
          </w:p>
        </w:tc>
        <w:tc>
          <w:tcPr>
            <w:tcW w:w="1030" w:type="dxa"/>
            <w:tcBorders>
              <w:top w:val="nil"/>
              <w:left w:val="nil"/>
              <w:bottom w:val="nil"/>
              <w:right w:val="nil"/>
            </w:tcBorders>
            <w:shd w:val="clear" w:color="000000" w:fill="FFFFFF"/>
            <w:noWrap/>
            <w:vAlign w:val="bottom"/>
            <w:hideMark/>
          </w:tcPr>
          <w:p w14:paraId="13D97E9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3.235</w:t>
            </w:r>
          </w:p>
        </w:tc>
        <w:tc>
          <w:tcPr>
            <w:tcW w:w="1090" w:type="dxa"/>
            <w:tcBorders>
              <w:top w:val="nil"/>
              <w:left w:val="nil"/>
              <w:bottom w:val="nil"/>
              <w:right w:val="nil"/>
            </w:tcBorders>
            <w:shd w:val="clear" w:color="000000" w:fill="FFFFFF"/>
            <w:noWrap/>
            <w:vAlign w:val="bottom"/>
            <w:hideMark/>
          </w:tcPr>
          <w:p w14:paraId="19D96D1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-10.599</w:t>
            </w:r>
          </w:p>
        </w:tc>
        <w:tc>
          <w:tcPr>
            <w:tcW w:w="1090" w:type="dxa"/>
            <w:tcBorders>
              <w:top w:val="nil"/>
              <w:left w:val="nil"/>
              <w:bottom w:val="nil"/>
              <w:right w:val="nil"/>
            </w:tcBorders>
            <w:shd w:val="clear" w:color="000000" w:fill="FFFFFF"/>
            <w:noWrap/>
            <w:vAlign w:val="bottom"/>
            <w:hideMark/>
          </w:tcPr>
          <w:p w14:paraId="453B2B8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11.214</w:t>
            </w:r>
          </w:p>
        </w:tc>
        <w:tc>
          <w:tcPr>
            <w:tcW w:w="956" w:type="dxa"/>
            <w:tcBorders>
              <w:top w:val="nil"/>
              <w:left w:val="nil"/>
              <w:bottom w:val="nil"/>
              <w:right w:val="nil"/>
            </w:tcBorders>
            <w:shd w:val="clear" w:color="000000" w:fill="FFFFFF"/>
            <w:noWrap/>
            <w:vAlign w:val="bottom"/>
            <w:hideMark/>
          </w:tcPr>
          <w:p w14:paraId="0A02A76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1960-Q1</w:t>
            </w:r>
          </w:p>
        </w:tc>
        <w:tc>
          <w:tcPr>
            <w:tcW w:w="956" w:type="dxa"/>
            <w:tcBorders>
              <w:top w:val="nil"/>
              <w:left w:val="nil"/>
              <w:bottom w:val="nil"/>
              <w:right w:val="nil"/>
            </w:tcBorders>
            <w:shd w:val="clear" w:color="000000" w:fill="FFFFFF"/>
            <w:noWrap/>
            <w:vAlign w:val="bottom"/>
            <w:hideMark/>
          </w:tcPr>
          <w:p w14:paraId="22DCD27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0C82F3F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260</w:t>
            </w:r>
          </w:p>
        </w:tc>
      </w:tr>
      <w:tr w:rsidR="00AE739C" w:rsidRPr="00935EAC" w14:paraId="06FD6F62" w14:textId="77777777" w:rsidTr="0073265E">
        <w:trPr>
          <w:trHeight w:val="170"/>
        </w:trPr>
        <w:tc>
          <w:tcPr>
            <w:tcW w:w="960" w:type="dxa"/>
            <w:tcBorders>
              <w:top w:val="nil"/>
              <w:left w:val="nil"/>
              <w:bottom w:val="nil"/>
              <w:right w:val="nil"/>
            </w:tcBorders>
            <w:shd w:val="clear" w:color="000000" w:fill="FFFFFF"/>
            <w:noWrap/>
            <w:vAlign w:val="bottom"/>
            <w:hideMark/>
          </w:tcPr>
          <w:p w14:paraId="3E46457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66</w:t>
            </w:r>
          </w:p>
        </w:tc>
        <w:tc>
          <w:tcPr>
            <w:tcW w:w="2254" w:type="dxa"/>
            <w:tcBorders>
              <w:top w:val="nil"/>
              <w:left w:val="nil"/>
              <w:bottom w:val="nil"/>
              <w:right w:val="nil"/>
            </w:tcBorders>
            <w:shd w:val="clear" w:color="000000" w:fill="FFFFFF"/>
            <w:noWrap/>
            <w:vAlign w:val="bottom"/>
            <w:hideMark/>
          </w:tcPr>
          <w:p w14:paraId="28E2DB2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Spain</w:t>
            </w:r>
          </w:p>
        </w:tc>
        <w:tc>
          <w:tcPr>
            <w:tcW w:w="1090" w:type="dxa"/>
            <w:tcBorders>
              <w:top w:val="nil"/>
              <w:left w:val="nil"/>
              <w:bottom w:val="nil"/>
              <w:right w:val="nil"/>
            </w:tcBorders>
            <w:shd w:val="clear" w:color="000000" w:fill="FFFFFF"/>
            <w:noWrap/>
            <w:vAlign w:val="bottom"/>
            <w:hideMark/>
          </w:tcPr>
          <w:p w14:paraId="21FEAF4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-1.616</w:t>
            </w:r>
          </w:p>
        </w:tc>
        <w:tc>
          <w:tcPr>
            <w:tcW w:w="1030" w:type="dxa"/>
            <w:tcBorders>
              <w:top w:val="nil"/>
              <w:left w:val="nil"/>
              <w:bottom w:val="nil"/>
              <w:right w:val="nil"/>
            </w:tcBorders>
            <w:shd w:val="clear" w:color="000000" w:fill="FFFFFF"/>
            <w:noWrap/>
            <w:vAlign w:val="bottom"/>
            <w:hideMark/>
          </w:tcPr>
          <w:p w14:paraId="4297FD0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3.180</w:t>
            </w:r>
          </w:p>
        </w:tc>
        <w:tc>
          <w:tcPr>
            <w:tcW w:w="1090" w:type="dxa"/>
            <w:tcBorders>
              <w:top w:val="nil"/>
              <w:left w:val="nil"/>
              <w:bottom w:val="nil"/>
              <w:right w:val="nil"/>
            </w:tcBorders>
            <w:shd w:val="clear" w:color="000000" w:fill="FFFFFF"/>
            <w:noWrap/>
            <w:vAlign w:val="bottom"/>
            <w:hideMark/>
          </w:tcPr>
          <w:p w14:paraId="5BD2F08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-9.992</w:t>
            </w:r>
          </w:p>
        </w:tc>
        <w:tc>
          <w:tcPr>
            <w:tcW w:w="1090" w:type="dxa"/>
            <w:tcBorders>
              <w:top w:val="nil"/>
              <w:left w:val="nil"/>
              <w:bottom w:val="nil"/>
              <w:right w:val="nil"/>
            </w:tcBorders>
            <w:shd w:val="clear" w:color="000000" w:fill="FFFFFF"/>
            <w:noWrap/>
            <w:vAlign w:val="bottom"/>
            <w:hideMark/>
          </w:tcPr>
          <w:p w14:paraId="46613B1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3.807</w:t>
            </w:r>
          </w:p>
        </w:tc>
        <w:tc>
          <w:tcPr>
            <w:tcW w:w="956" w:type="dxa"/>
            <w:tcBorders>
              <w:top w:val="nil"/>
              <w:left w:val="nil"/>
              <w:bottom w:val="nil"/>
              <w:right w:val="nil"/>
            </w:tcBorders>
            <w:shd w:val="clear" w:color="000000" w:fill="FFFFFF"/>
            <w:noWrap/>
            <w:vAlign w:val="bottom"/>
            <w:hideMark/>
          </w:tcPr>
          <w:p w14:paraId="1B258E7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1975-Q1</w:t>
            </w:r>
          </w:p>
        </w:tc>
        <w:tc>
          <w:tcPr>
            <w:tcW w:w="956" w:type="dxa"/>
            <w:tcBorders>
              <w:top w:val="nil"/>
              <w:left w:val="nil"/>
              <w:bottom w:val="nil"/>
              <w:right w:val="nil"/>
            </w:tcBorders>
            <w:shd w:val="clear" w:color="000000" w:fill="FFFFFF"/>
            <w:noWrap/>
            <w:vAlign w:val="bottom"/>
            <w:hideMark/>
          </w:tcPr>
          <w:p w14:paraId="0AD8522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27D3E4C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200</w:t>
            </w:r>
          </w:p>
        </w:tc>
      </w:tr>
      <w:tr w:rsidR="00AE739C" w:rsidRPr="00935EAC" w14:paraId="37D653D3" w14:textId="77777777" w:rsidTr="0073265E">
        <w:trPr>
          <w:trHeight w:val="170"/>
        </w:trPr>
        <w:tc>
          <w:tcPr>
            <w:tcW w:w="960" w:type="dxa"/>
            <w:tcBorders>
              <w:top w:val="nil"/>
              <w:left w:val="nil"/>
              <w:bottom w:val="nil"/>
              <w:right w:val="nil"/>
            </w:tcBorders>
            <w:shd w:val="clear" w:color="000000" w:fill="FFFFFF"/>
            <w:noWrap/>
            <w:vAlign w:val="bottom"/>
            <w:hideMark/>
          </w:tcPr>
          <w:p w14:paraId="43A6AD1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67</w:t>
            </w:r>
          </w:p>
        </w:tc>
        <w:tc>
          <w:tcPr>
            <w:tcW w:w="2254" w:type="dxa"/>
            <w:tcBorders>
              <w:top w:val="nil"/>
              <w:left w:val="nil"/>
              <w:bottom w:val="nil"/>
              <w:right w:val="nil"/>
            </w:tcBorders>
            <w:shd w:val="clear" w:color="000000" w:fill="FFFFFF"/>
            <w:noWrap/>
            <w:vAlign w:val="bottom"/>
            <w:hideMark/>
          </w:tcPr>
          <w:p w14:paraId="6C4AFE7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Sri Lanka</w:t>
            </w:r>
          </w:p>
        </w:tc>
        <w:tc>
          <w:tcPr>
            <w:tcW w:w="1090" w:type="dxa"/>
            <w:tcBorders>
              <w:top w:val="nil"/>
              <w:left w:val="nil"/>
              <w:bottom w:val="nil"/>
              <w:right w:val="nil"/>
            </w:tcBorders>
            <w:shd w:val="clear" w:color="000000" w:fill="FFFFFF"/>
            <w:noWrap/>
            <w:vAlign w:val="bottom"/>
            <w:hideMark/>
          </w:tcPr>
          <w:p w14:paraId="1410A3B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-4.768</w:t>
            </w:r>
          </w:p>
        </w:tc>
        <w:tc>
          <w:tcPr>
            <w:tcW w:w="1030" w:type="dxa"/>
            <w:tcBorders>
              <w:top w:val="nil"/>
              <w:left w:val="nil"/>
              <w:bottom w:val="nil"/>
              <w:right w:val="nil"/>
            </w:tcBorders>
            <w:shd w:val="clear" w:color="000000" w:fill="FFFFFF"/>
            <w:noWrap/>
            <w:vAlign w:val="bottom"/>
            <w:hideMark/>
          </w:tcPr>
          <w:p w14:paraId="5D64D1B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4.561</w:t>
            </w:r>
          </w:p>
        </w:tc>
        <w:tc>
          <w:tcPr>
            <w:tcW w:w="1090" w:type="dxa"/>
            <w:tcBorders>
              <w:top w:val="nil"/>
              <w:left w:val="nil"/>
              <w:bottom w:val="nil"/>
              <w:right w:val="nil"/>
            </w:tcBorders>
            <w:shd w:val="clear" w:color="000000" w:fill="FFFFFF"/>
            <w:noWrap/>
            <w:vAlign w:val="bottom"/>
            <w:hideMark/>
          </w:tcPr>
          <w:p w14:paraId="7FCEEC9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-21.080</w:t>
            </w:r>
          </w:p>
        </w:tc>
        <w:tc>
          <w:tcPr>
            <w:tcW w:w="1090" w:type="dxa"/>
            <w:tcBorders>
              <w:top w:val="nil"/>
              <w:left w:val="nil"/>
              <w:bottom w:val="nil"/>
              <w:right w:val="nil"/>
            </w:tcBorders>
            <w:shd w:val="clear" w:color="000000" w:fill="FFFFFF"/>
            <w:noWrap/>
            <w:vAlign w:val="bottom"/>
            <w:hideMark/>
          </w:tcPr>
          <w:p w14:paraId="405842A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4.906</w:t>
            </w:r>
          </w:p>
        </w:tc>
        <w:tc>
          <w:tcPr>
            <w:tcW w:w="956" w:type="dxa"/>
            <w:tcBorders>
              <w:top w:val="nil"/>
              <w:left w:val="nil"/>
              <w:bottom w:val="nil"/>
              <w:right w:val="nil"/>
            </w:tcBorders>
            <w:shd w:val="clear" w:color="000000" w:fill="FFFFFF"/>
            <w:noWrap/>
            <w:vAlign w:val="bottom"/>
            <w:hideMark/>
          </w:tcPr>
          <w:p w14:paraId="15014DF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1977-Q1</w:t>
            </w:r>
          </w:p>
        </w:tc>
        <w:tc>
          <w:tcPr>
            <w:tcW w:w="956" w:type="dxa"/>
            <w:tcBorders>
              <w:top w:val="nil"/>
              <w:left w:val="nil"/>
              <w:bottom w:val="nil"/>
              <w:right w:val="nil"/>
            </w:tcBorders>
            <w:shd w:val="clear" w:color="000000" w:fill="FFFFFF"/>
            <w:noWrap/>
            <w:vAlign w:val="bottom"/>
            <w:hideMark/>
          </w:tcPr>
          <w:p w14:paraId="6E17F18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2021-Q1</w:t>
            </w:r>
          </w:p>
        </w:tc>
        <w:tc>
          <w:tcPr>
            <w:tcW w:w="574" w:type="dxa"/>
            <w:tcBorders>
              <w:top w:val="nil"/>
              <w:left w:val="nil"/>
              <w:bottom w:val="nil"/>
              <w:right w:val="nil"/>
            </w:tcBorders>
            <w:shd w:val="clear" w:color="000000" w:fill="FFFFFF"/>
            <w:noWrap/>
            <w:vAlign w:val="bottom"/>
            <w:hideMark/>
          </w:tcPr>
          <w:p w14:paraId="27991C1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177</w:t>
            </w:r>
          </w:p>
        </w:tc>
      </w:tr>
      <w:tr w:rsidR="00AE739C" w:rsidRPr="00935EAC" w14:paraId="42B41B08" w14:textId="77777777" w:rsidTr="0073265E">
        <w:trPr>
          <w:trHeight w:val="170"/>
        </w:trPr>
        <w:tc>
          <w:tcPr>
            <w:tcW w:w="960" w:type="dxa"/>
            <w:tcBorders>
              <w:top w:val="nil"/>
              <w:left w:val="nil"/>
              <w:bottom w:val="nil"/>
              <w:right w:val="nil"/>
            </w:tcBorders>
            <w:shd w:val="clear" w:color="000000" w:fill="FFFFFF"/>
            <w:noWrap/>
            <w:vAlign w:val="bottom"/>
            <w:hideMark/>
          </w:tcPr>
          <w:p w14:paraId="345AA07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68</w:t>
            </w:r>
          </w:p>
        </w:tc>
        <w:tc>
          <w:tcPr>
            <w:tcW w:w="2254" w:type="dxa"/>
            <w:tcBorders>
              <w:top w:val="nil"/>
              <w:left w:val="nil"/>
              <w:bottom w:val="nil"/>
              <w:right w:val="nil"/>
            </w:tcBorders>
            <w:shd w:val="clear" w:color="000000" w:fill="FFFFFF"/>
            <w:noWrap/>
            <w:vAlign w:val="bottom"/>
            <w:hideMark/>
          </w:tcPr>
          <w:p w14:paraId="13CAD4C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Sweden</w:t>
            </w:r>
          </w:p>
        </w:tc>
        <w:tc>
          <w:tcPr>
            <w:tcW w:w="1090" w:type="dxa"/>
            <w:tcBorders>
              <w:top w:val="nil"/>
              <w:left w:val="nil"/>
              <w:bottom w:val="nil"/>
              <w:right w:val="nil"/>
            </w:tcBorders>
            <w:shd w:val="clear" w:color="000000" w:fill="FFFFFF"/>
            <w:noWrap/>
            <w:vAlign w:val="bottom"/>
            <w:hideMark/>
          </w:tcPr>
          <w:p w14:paraId="67512D6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2.470</w:t>
            </w:r>
          </w:p>
        </w:tc>
        <w:tc>
          <w:tcPr>
            <w:tcW w:w="1030" w:type="dxa"/>
            <w:tcBorders>
              <w:top w:val="nil"/>
              <w:left w:val="nil"/>
              <w:bottom w:val="nil"/>
              <w:right w:val="nil"/>
            </w:tcBorders>
            <w:shd w:val="clear" w:color="000000" w:fill="FFFFFF"/>
            <w:noWrap/>
            <w:vAlign w:val="bottom"/>
            <w:hideMark/>
          </w:tcPr>
          <w:p w14:paraId="3046DBB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3.559</w:t>
            </w:r>
          </w:p>
        </w:tc>
        <w:tc>
          <w:tcPr>
            <w:tcW w:w="1090" w:type="dxa"/>
            <w:tcBorders>
              <w:top w:val="nil"/>
              <w:left w:val="nil"/>
              <w:bottom w:val="nil"/>
              <w:right w:val="nil"/>
            </w:tcBorders>
            <w:shd w:val="clear" w:color="000000" w:fill="FFFFFF"/>
            <w:noWrap/>
            <w:vAlign w:val="bottom"/>
            <w:hideMark/>
          </w:tcPr>
          <w:p w14:paraId="2967265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-5.506</w:t>
            </w:r>
          </w:p>
        </w:tc>
        <w:tc>
          <w:tcPr>
            <w:tcW w:w="1090" w:type="dxa"/>
            <w:tcBorders>
              <w:top w:val="nil"/>
              <w:left w:val="nil"/>
              <w:bottom w:val="nil"/>
              <w:right w:val="nil"/>
            </w:tcBorders>
            <w:shd w:val="clear" w:color="000000" w:fill="FFFFFF"/>
            <w:noWrap/>
            <w:vAlign w:val="bottom"/>
            <w:hideMark/>
          </w:tcPr>
          <w:p w14:paraId="75378A6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9.449</w:t>
            </w:r>
          </w:p>
        </w:tc>
        <w:tc>
          <w:tcPr>
            <w:tcW w:w="956" w:type="dxa"/>
            <w:tcBorders>
              <w:top w:val="nil"/>
              <w:left w:val="nil"/>
              <w:bottom w:val="nil"/>
              <w:right w:val="nil"/>
            </w:tcBorders>
            <w:shd w:val="clear" w:color="000000" w:fill="FFFFFF"/>
            <w:noWrap/>
            <w:vAlign w:val="bottom"/>
            <w:hideMark/>
          </w:tcPr>
          <w:p w14:paraId="6EC6BD8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1975-Q1</w:t>
            </w:r>
          </w:p>
        </w:tc>
        <w:tc>
          <w:tcPr>
            <w:tcW w:w="956" w:type="dxa"/>
            <w:tcBorders>
              <w:top w:val="nil"/>
              <w:left w:val="nil"/>
              <w:bottom w:val="nil"/>
              <w:right w:val="nil"/>
            </w:tcBorders>
            <w:shd w:val="clear" w:color="000000" w:fill="FFFFFF"/>
            <w:noWrap/>
            <w:vAlign w:val="bottom"/>
            <w:hideMark/>
          </w:tcPr>
          <w:p w14:paraId="5962ECE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4326CDD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200</w:t>
            </w:r>
          </w:p>
        </w:tc>
      </w:tr>
      <w:tr w:rsidR="00AE739C" w:rsidRPr="00935EAC" w14:paraId="23FB93AD" w14:textId="77777777" w:rsidTr="0073265E">
        <w:trPr>
          <w:trHeight w:val="170"/>
        </w:trPr>
        <w:tc>
          <w:tcPr>
            <w:tcW w:w="960" w:type="dxa"/>
            <w:tcBorders>
              <w:top w:val="nil"/>
              <w:left w:val="nil"/>
              <w:bottom w:val="nil"/>
              <w:right w:val="nil"/>
            </w:tcBorders>
            <w:shd w:val="clear" w:color="000000" w:fill="FFFFFF"/>
            <w:noWrap/>
            <w:vAlign w:val="bottom"/>
            <w:hideMark/>
          </w:tcPr>
          <w:p w14:paraId="127DDEE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69</w:t>
            </w:r>
          </w:p>
        </w:tc>
        <w:tc>
          <w:tcPr>
            <w:tcW w:w="2254" w:type="dxa"/>
            <w:tcBorders>
              <w:top w:val="nil"/>
              <w:left w:val="nil"/>
              <w:bottom w:val="nil"/>
              <w:right w:val="nil"/>
            </w:tcBorders>
            <w:shd w:val="clear" w:color="000000" w:fill="FFFFFF"/>
            <w:noWrap/>
            <w:vAlign w:val="bottom"/>
            <w:hideMark/>
          </w:tcPr>
          <w:p w14:paraId="01DCBAA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Switzerland</w:t>
            </w:r>
          </w:p>
        </w:tc>
        <w:tc>
          <w:tcPr>
            <w:tcW w:w="1090" w:type="dxa"/>
            <w:tcBorders>
              <w:top w:val="nil"/>
              <w:left w:val="nil"/>
              <w:bottom w:val="nil"/>
              <w:right w:val="nil"/>
            </w:tcBorders>
            <w:shd w:val="clear" w:color="000000" w:fill="FFFFFF"/>
            <w:noWrap/>
            <w:vAlign w:val="bottom"/>
            <w:hideMark/>
          </w:tcPr>
          <w:p w14:paraId="0BF0784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5.714</w:t>
            </w:r>
          </w:p>
        </w:tc>
        <w:tc>
          <w:tcPr>
            <w:tcW w:w="1030" w:type="dxa"/>
            <w:tcBorders>
              <w:top w:val="nil"/>
              <w:left w:val="nil"/>
              <w:bottom w:val="nil"/>
              <w:right w:val="nil"/>
            </w:tcBorders>
            <w:shd w:val="clear" w:color="000000" w:fill="FFFFFF"/>
            <w:noWrap/>
            <w:vAlign w:val="bottom"/>
            <w:hideMark/>
          </w:tcPr>
          <w:p w14:paraId="2341E6D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3.878</w:t>
            </w:r>
          </w:p>
        </w:tc>
        <w:tc>
          <w:tcPr>
            <w:tcW w:w="1090" w:type="dxa"/>
            <w:tcBorders>
              <w:top w:val="nil"/>
              <w:left w:val="nil"/>
              <w:bottom w:val="nil"/>
              <w:right w:val="nil"/>
            </w:tcBorders>
            <w:shd w:val="clear" w:color="000000" w:fill="FFFFFF"/>
            <w:noWrap/>
            <w:vAlign w:val="bottom"/>
            <w:hideMark/>
          </w:tcPr>
          <w:p w14:paraId="3241FB2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-12.115</w:t>
            </w:r>
          </w:p>
        </w:tc>
        <w:tc>
          <w:tcPr>
            <w:tcW w:w="1090" w:type="dxa"/>
            <w:tcBorders>
              <w:top w:val="nil"/>
              <w:left w:val="nil"/>
              <w:bottom w:val="nil"/>
              <w:right w:val="nil"/>
            </w:tcBorders>
            <w:shd w:val="clear" w:color="000000" w:fill="FFFFFF"/>
            <w:noWrap/>
            <w:vAlign w:val="bottom"/>
            <w:hideMark/>
          </w:tcPr>
          <w:p w14:paraId="284BBF3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14.543</w:t>
            </w:r>
          </w:p>
        </w:tc>
        <w:tc>
          <w:tcPr>
            <w:tcW w:w="956" w:type="dxa"/>
            <w:tcBorders>
              <w:top w:val="nil"/>
              <w:left w:val="nil"/>
              <w:bottom w:val="nil"/>
              <w:right w:val="nil"/>
            </w:tcBorders>
            <w:shd w:val="clear" w:color="000000" w:fill="FFFFFF"/>
            <w:noWrap/>
            <w:vAlign w:val="bottom"/>
            <w:hideMark/>
          </w:tcPr>
          <w:p w14:paraId="7CF3BF9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1972-Q1</w:t>
            </w:r>
          </w:p>
        </w:tc>
        <w:tc>
          <w:tcPr>
            <w:tcW w:w="956" w:type="dxa"/>
            <w:tcBorders>
              <w:top w:val="nil"/>
              <w:left w:val="nil"/>
              <w:bottom w:val="nil"/>
              <w:right w:val="nil"/>
            </w:tcBorders>
            <w:shd w:val="clear" w:color="000000" w:fill="FFFFFF"/>
            <w:noWrap/>
            <w:vAlign w:val="bottom"/>
            <w:hideMark/>
          </w:tcPr>
          <w:p w14:paraId="2E08F54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28B7887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212</w:t>
            </w:r>
          </w:p>
        </w:tc>
      </w:tr>
      <w:tr w:rsidR="00AE739C" w:rsidRPr="00935EAC" w14:paraId="3D918E3F" w14:textId="77777777" w:rsidTr="0073265E">
        <w:trPr>
          <w:trHeight w:val="170"/>
        </w:trPr>
        <w:tc>
          <w:tcPr>
            <w:tcW w:w="960" w:type="dxa"/>
            <w:tcBorders>
              <w:top w:val="nil"/>
              <w:left w:val="nil"/>
              <w:bottom w:val="nil"/>
              <w:right w:val="nil"/>
            </w:tcBorders>
            <w:shd w:val="clear" w:color="000000" w:fill="FFFFFF"/>
            <w:noWrap/>
            <w:vAlign w:val="bottom"/>
            <w:hideMark/>
          </w:tcPr>
          <w:p w14:paraId="055D282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70</w:t>
            </w:r>
          </w:p>
        </w:tc>
        <w:tc>
          <w:tcPr>
            <w:tcW w:w="2254" w:type="dxa"/>
            <w:tcBorders>
              <w:top w:val="nil"/>
              <w:left w:val="nil"/>
              <w:bottom w:val="nil"/>
              <w:right w:val="nil"/>
            </w:tcBorders>
            <w:shd w:val="clear" w:color="000000" w:fill="FFFFFF"/>
            <w:noWrap/>
            <w:vAlign w:val="bottom"/>
            <w:hideMark/>
          </w:tcPr>
          <w:p w14:paraId="61D9D42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Taiwan</w:t>
            </w:r>
          </w:p>
        </w:tc>
        <w:tc>
          <w:tcPr>
            <w:tcW w:w="1090" w:type="dxa"/>
            <w:tcBorders>
              <w:top w:val="nil"/>
              <w:left w:val="nil"/>
              <w:bottom w:val="nil"/>
              <w:right w:val="nil"/>
            </w:tcBorders>
            <w:shd w:val="clear" w:color="000000" w:fill="FFFFFF"/>
            <w:noWrap/>
            <w:vAlign w:val="bottom"/>
            <w:hideMark/>
          </w:tcPr>
          <w:p w14:paraId="7CADC02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7.988</w:t>
            </w:r>
          </w:p>
        </w:tc>
        <w:tc>
          <w:tcPr>
            <w:tcW w:w="1030" w:type="dxa"/>
            <w:tcBorders>
              <w:top w:val="nil"/>
              <w:left w:val="nil"/>
              <w:bottom w:val="nil"/>
              <w:right w:val="nil"/>
            </w:tcBorders>
            <w:shd w:val="clear" w:color="000000" w:fill="FFFFFF"/>
            <w:noWrap/>
            <w:vAlign w:val="bottom"/>
            <w:hideMark/>
          </w:tcPr>
          <w:p w14:paraId="30B1710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4.810</w:t>
            </w:r>
          </w:p>
        </w:tc>
        <w:tc>
          <w:tcPr>
            <w:tcW w:w="1090" w:type="dxa"/>
            <w:tcBorders>
              <w:top w:val="nil"/>
              <w:left w:val="nil"/>
              <w:bottom w:val="nil"/>
              <w:right w:val="nil"/>
            </w:tcBorders>
            <w:shd w:val="clear" w:color="000000" w:fill="FFFFFF"/>
            <w:noWrap/>
            <w:vAlign w:val="bottom"/>
            <w:hideMark/>
          </w:tcPr>
          <w:p w14:paraId="224A2A3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-5.188</w:t>
            </w:r>
          </w:p>
        </w:tc>
        <w:tc>
          <w:tcPr>
            <w:tcW w:w="1090" w:type="dxa"/>
            <w:tcBorders>
              <w:top w:val="nil"/>
              <w:left w:val="nil"/>
              <w:bottom w:val="nil"/>
              <w:right w:val="nil"/>
            </w:tcBorders>
            <w:shd w:val="clear" w:color="000000" w:fill="FFFFFF"/>
            <w:noWrap/>
            <w:vAlign w:val="bottom"/>
            <w:hideMark/>
          </w:tcPr>
          <w:p w14:paraId="1242E99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22.562</w:t>
            </w:r>
          </w:p>
        </w:tc>
        <w:tc>
          <w:tcPr>
            <w:tcW w:w="956" w:type="dxa"/>
            <w:tcBorders>
              <w:top w:val="nil"/>
              <w:left w:val="nil"/>
              <w:bottom w:val="nil"/>
              <w:right w:val="nil"/>
            </w:tcBorders>
            <w:shd w:val="clear" w:color="000000" w:fill="FFFFFF"/>
            <w:noWrap/>
            <w:vAlign w:val="bottom"/>
            <w:hideMark/>
          </w:tcPr>
          <w:p w14:paraId="2C08C6C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1981-Q1</w:t>
            </w:r>
          </w:p>
        </w:tc>
        <w:tc>
          <w:tcPr>
            <w:tcW w:w="956" w:type="dxa"/>
            <w:tcBorders>
              <w:top w:val="nil"/>
              <w:left w:val="nil"/>
              <w:bottom w:val="nil"/>
              <w:right w:val="nil"/>
            </w:tcBorders>
            <w:shd w:val="clear" w:color="000000" w:fill="FFFFFF"/>
            <w:noWrap/>
            <w:vAlign w:val="bottom"/>
            <w:hideMark/>
          </w:tcPr>
          <w:p w14:paraId="67BEE0F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2019-Q4</w:t>
            </w:r>
          </w:p>
        </w:tc>
        <w:tc>
          <w:tcPr>
            <w:tcW w:w="574" w:type="dxa"/>
            <w:tcBorders>
              <w:top w:val="nil"/>
              <w:left w:val="nil"/>
              <w:bottom w:val="nil"/>
              <w:right w:val="nil"/>
            </w:tcBorders>
            <w:shd w:val="clear" w:color="000000" w:fill="FFFFFF"/>
            <w:noWrap/>
            <w:vAlign w:val="bottom"/>
            <w:hideMark/>
          </w:tcPr>
          <w:p w14:paraId="20C841D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156</w:t>
            </w:r>
          </w:p>
        </w:tc>
      </w:tr>
      <w:tr w:rsidR="00AE739C" w:rsidRPr="00935EAC" w14:paraId="32CEE596" w14:textId="77777777" w:rsidTr="0073265E">
        <w:trPr>
          <w:trHeight w:val="170"/>
        </w:trPr>
        <w:tc>
          <w:tcPr>
            <w:tcW w:w="960" w:type="dxa"/>
            <w:tcBorders>
              <w:top w:val="nil"/>
              <w:left w:val="nil"/>
              <w:bottom w:val="nil"/>
              <w:right w:val="nil"/>
            </w:tcBorders>
            <w:shd w:val="clear" w:color="000000" w:fill="FFFFFF"/>
            <w:noWrap/>
            <w:vAlign w:val="bottom"/>
            <w:hideMark/>
          </w:tcPr>
          <w:p w14:paraId="140ADDE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71</w:t>
            </w:r>
          </w:p>
        </w:tc>
        <w:tc>
          <w:tcPr>
            <w:tcW w:w="2254" w:type="dxa"/>
            <w:tcBorders>
              <w:top w:val="nil"/>
              <w:left w:val="nil"/>
              <w:bottom w:val="nil"/>
              <w:right w:val="nil"/>
            </w:tcBorders>
            <w:shd w:val="clear" w:color="000000" w:fill="FFFFFF"/>
            <w:noWrap/>
            <w:vAlign w:val="bottom"/>
            <w:hideMark/>
          </w:tcPr>
          <w:p w14:paraId="7FEED62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Thailand</w:t>
            </w:r>
          </w:p>
        </w:tc>
        <w:tc>
          <w:tcPr>
            <w:tcW w:w="1090" w:type="dxa"/>
            <w:tcBorders>
              <w:top w:val="nil"/>
              <w:left w:val="nil"/>
              <w:bottom w:val="nil"/>
              <w:right w:val="nil"/>
            </w:tcBorders>
            <w:shd w:val="clear" w:color="000000" w:fill="FFFFFF"/>
            <w:noWrap/>
            <w:vAlign w:val="bottom"/>
            <w:hideMark/>
          </w:tcPr>
          <w:p w14:paraId="089A991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-0.262</w:t>
            </w:r>
          </w:p>
        </w:tc>
        <w:tc>
          <w:tcPr>
            <w:tcW w:w="1030" w:type="dxa"/>
            <w:tcBorders>
              <w:top w:val="nil"/>
              <w:left w:val="nil"/>
              <w:bottom w:val="nil"/>
              <w:right w:val="nil"/>
            </w:tcBorders>
            <w:shd w:val="clear" w:color="000000" w:fill="FFFFFF"/>
            <w:noWrap/>
            <w:vAlign w:val="bottom"/>
            <w:hideMark/>
          </w:tcPr>
          <w:p w14:paraId="2DEF079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6.403</w:t>
            </w:r>
          </w:p>
        </w:tc>
        <w:tc>
          <w:tcPr>
            <w:tcW w:w="1090" w:type="dxa"/>
            <w:tcBorders>
              <w:top w:val="nil"/>
              <w:left w:val="nil"/>
              <w:bottom w:val="nil"/>
              <w:right w:val="nil"/>
            </w:tcBorders>
            <w:shd w:val="clear" w:color="000000" w:fill="FFFFFF"/>
            <w:noWrap/>
            <w:vAlign w:val="bottom"/>
            <w:hideMark/>
          </w:tcPr>
          <w:p w14:paraId="4603846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-12.561</w:t>
            </w:r>
          </w:p>
        </w:tc>
        <w:tc>
          <w:tcPr>
            <w:tcW w:w="1090" w:type="dxa"/>
            <w:tcBorders>
              <w:top w:val="nil"/>
              <w:left w:val="nil"/>
              <w:bottom w:val="nil"/>
              <w:right w:val="nil"/>
            </w:tcBorders>
            <w:shd w:val="clear" w:color="000000" w:fill="FFFFFF"/>
            <w:noWrap/>
            <w:vAlign w:val="bottom"/>
            <w:hideMark/>
          </w:tcPr>
          <w:p w14:paraId="0FFB14A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13.725</w:t>
            </w:r>
          </w:p>
        </w:tc>
        <w:tc>
          <w:tcPr>
            <w:tcW w:w="956" w:type="dxa"/>
            <w:tcBorders>
              <w:top w:val="nil"/>
              <w:left w:val="nil"/>
              <w:bottom w:val="nil"/>
              <w:right w:val="nil"/>
            </w:tcBorders>
            <w:shd w:val="clear" w:color="000000" w:fill="FFFFFF"/>
            <w:noWrap/>
            <w:vAlign w:val="bottom"/>
            <w:hideMark/>
          </w:tcPr>
          <w:p w14:paraId="2E53E4B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1976-Q1</w:t>
            </w:r>
          </w:p>
        </w:tc>
        <w:tc>
          <w:tcPr>
            <w:tcW w:w="956" w:type="dxa"/>
            <w:tcBorders>
              <w:top w:val="nil"/>
              <w:left w:val="nil"/>
              <w:bottom w:val="nil"/>
              <w:right w:val="nil"/>
            </w:tcBorders>
            <w:shd w:val="clear" w:color="000000" w:fill="FFFFFF"/>
            <w:noWrap/>
            <w:vAlign w:val="bottom"/>
            <w:hideMark/>
          </w:tcPr>
          <w:p w14:paraId="637B2EF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2019-Q4</w:t>
            </w:r>
          </w:p>
        </w:tc>
        <w:tc>
          <w:tcPr>
            <w:tcW w:w="574" w:type="dxa"/>
            <w:tcBorders>
              <w:top w:val="nil"/>
              <w:left w:val="nil"/>
              <w:bottom w:val="nil"/>
              <w:right w:val="nil"/>
            </w:tcBorders>
            <w:shd w:val="clear" w:color="000000" w:fill="FFFFFF"/>
            <w:noWrap/>
            <w:vAlign w:val="bottom"/>
            <w:hideMark/>
          </w:tcPr>
          <w:p w14:paraId="07C52FF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176</w:t>
            </w:r>
          </w:p>
        </w:tc>
      </w:tr>
      <w:tr w:rsidR="00AE739C" w:rsidRPr="00935EAC" w14:paraId="23E29604" w14:textId="77777777" w:rsidTr="0073265E">
        <w:trPr>
          <w:trHeight w:val="170"/>
        </w:trPr>
        <w:tc>
          <w:tcPr>
            <w:tcW w:w="960" w:type="dxa"/>
            <w:tcBorders>
              <w:top w:val="nil"/>
              <w:left w:val="nil"/>
              <w:bottom w:val="nil"/>
              <w:right w:val="nil"/>
            </w:tcBorders>
            <w:shd w:val="clear" w:color="000000" w:fill="FFFFFF"/>
            <w:noWrap/>
            <w:vAlign w:val="bottom"/>
            <w:hideMark/>
          </w:tcPr>
          <w:p w14:paraId="464A7BD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72</w:t>
            </w:r>
          </w:p>
        </w:tc>
        <w:tc>
          <w:tcPr>
            <w:tcW w:w="2254" w:type="dxa"/>
            <w:tcBorders>
              <w:top w:val="nil"/>
              <w:left w:val="nil"/>
              <w:bottom w:val="nil"/>
              <w:right w:val="nil"/>
            </w:tcBorders>
            <w:shd w:val="clear" w:color="000000" w:fill="FFFFFF"/>
            <w:noWrap/>
            <w:vAlign w:val="bottom"/>
            <w:hideMark/>
          </w:tcPr>
          <w:p w14:paraId="327CCFF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Turkey</w:t>
            </w:r>
          </w:p>
        </w:tc>
        <w:tc>
          <w:tcPr>
            <w:tcW w:w="1090" w:type="dxa"/>
            <w:tcBorders>
              <w:top w:val="nil"/>
              <w:left w:val="nil"/>
              <w:bottom w:val="nil"/>
              <w:right w:val="nil"/>
            </w:tcBorders>
            <w:shd w:val="clear" w:color="000000" w:fill="FFFFFF"/>
            <w:noWrap/>
            <w:vAlign w:val="bottom"/>
            <w:hideMark/>
          </w:tcPr>
          <w:p w14:paraId="7943757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-2.352</w:t>
            </w:r>
          </w:p>
        </w:tc>
        <w:tc>
          <w:tcPr>
            <w:tcW w:w="1030" w:type="dxa"/>
            <w:tcBorders>
              <w:top w:val="nil"/>
              <w:left w:val="nil"/>
              <w:bottom w:val="nil"/>
              <w:right w:val="nil"/>
            </w:tcBorders>
            <w:shd w:val="clear" w:color="000000" w:fill="FFFFFF"/>
            <w:noWrap/>
            <w:vAlign w:val="bottom"/>
            <w:hideMark/>
          </w:tcPr>
          <w:p w14:paraId="2BFF748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2.898</w:t>
            </w:r>
          </w:p>
        </w:tc>
        <w:tc>
          <w:tcPr>
            <w:tcW w:w="1090" w:type="dxa"/>
            <w:tcBorders>
              <w:top w:val="nil"/>
              <w:left w:val="nil"/>
              <w:bottom w:val="nil"/>
              <w:right w:val="nil"/>
            </w:tcBorders>
            <w:shd w:val="clear" w:color="000000" w:fill="FFFFFF"/>
            <w:noWrap/>
            <w:vAlign w:val="bottom"/>
            <w:hideMark/>
          </w:tcPr>
          <w:p w14:paraId="0225844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-9.338</w:t>
            </w:r>
          </w:p>
        </w:tc>
        <w:tc>
          <w:tcPr>
            <w:tcW w:w="1090" w:type="dxa"/>
            <w:tcBorders>
              <w:top w:val="nil"/>
              <w:left w:val="nil"/>
              <w:bottom w:val="nil"/>
              <w:right w:val="nil"/>
            </w:tcBorders>
            <w:shd w:val="clear" w:color="000000" w:fill="FFFFFF"/>
            <w:noWrap/>
            <w:vAlign w:val="bottom"/>
            <w:hideMark/>
          </w:tcPr>
          <w:p w14:paraId="74517F7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6.448</w:t>
            </w:r>
          </w:p>
        </w:tc>
        <w:tc>
          <w:tcPr>
            <w:tcW w:w="956" w:type="dxa"/>
            <w:tcBorders>
              <w:top w:val="nil"/>
              <w:left w:val="nil"/>
              <w:bottom w:val="nil"/>
              <w:right w:val="nil"/>
            </w:tcBorders>
            <w:shd w:val="clear" w:color="000000" w:fill="FFFFFF"/>
            <w:noWrap/>
            <w:vAlign w:val="bottom"/>
            <w:hideMark/>
          </w:tcPr>
          <w:p w14:paraId="759333D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1987-Q1</w:t>
            </w:r>
          </w:p>
        </w:tc>
        <w:tc>
          <w:tcPr>
            <w:tcW w:w="956" w:type="dxa"/>
            <w:tcBorders>
              <w:top w:val="nil"/>
              <w:left w:val="nil"/>
              <w:bottom w:val="nil"/>
              <w:right w:val="nil"/>
            </w:tcBorders>
            <w:shd w:val="clear" w:color="000000" w:fill="FFFFFF"/>
            <w:noWrap/>
            <w:vAlign w:val="bottom"/>
            <w:hideMark/>
          </w:tcPr>
          <w:p w14:paraId="2B37F65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1CF2A64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152</w:t>
            </w:r>
          </w:p>
        </w:tc>
      </w:tr>
      <w:tr w:rsidR="00AE739C" w:rsidRPr="00935EAC" w14:paraId="377CABF2" w14:textId="77777777" w:rsidTr="0073265E">
        <w:trPr>
          <w:trHeight w:val="170"/>
        </w:trPr>
        <w:tc>
          <w:tcPr>
            <w:tcW w:w="960" w:type="dxa"/>
            <w:tcBorders>
              <w:top w:val="nil"/>
              <w:left w:val="nil"/>
              <w:bottom w:val="nil"/>
              <w:right w:val="nil"/>
            </w:tcBorders>
            <w:shd w:val="clear" w:color="000000" w:fill="FFFFFF"/>
            <w:noWrap/>
            <w:vAlign w:val="bottom"/>
            <w:hideMark/>
          </w:tcPr>
          <w:p w14:paraId="46A1DA3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73</w:t>
            </w:r>
          </w:p>
        </w:tc>
        <w:tc>
          <w:tcPr>
            <w:tcW w:w="2254" w:type="dxa"/>
            <w:tcBorders>
              <w:top w:val="nil"/>
              <w:left w:val="nil"/>
              <w:bottom w:val="nil"/>
              <w:right w:val="nil"/>
            </w:tcBorders>
            <w:shd w:val="clear" w:color="000000" w:fill="FFFFFF"/>
            <w:noWrap/>
            <w:vAlign w:val="bottom"/>
            <w:hideMark/>
          </w:tcPr>
          <w:p w14:paraId="4A3D43C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United Kingdom</w:t>
            </w:r>
          </w:p>
        </w:tc>
        <w:tc>
          <w:tcPr>
            <w:tcW w:w="1090" w:type="dxa"/>
            <w:tcBorders>
              <w:top w:val="nil"/>
              <w:left w:val="nil"/>
              <w:bottom w:val="nil"/>
              <w:right w:val="nil"/>
            </w:tcBorders>
            <w:shd w:val="clear" w:color="000000" w:fill="FFFFFF"/>
            <w:noWrap/>
            <w:vAlign w:val="bottom"/>
            <w:hideMark/>
          </w:tcPr>
          <w:p w14:paraId="2B5CF97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-1.554</w:t>
            </w:r>
          </w:p>
        </w:tc>
        <w:tc>
          <w:tcPr>
            <w:tcW w:w="1030" w:type="dxa"/>
            <w:tcBorders>
              <w:top w:val="nil"/>
              <w:left w:val="nil"/>
              <w:bottom w:val="nil"/>
              <w:right w:val="nil"/>
            </w:tcBorders>
            <w:shd w:val="clear" w:color="000000" w:fill="FFFFFF"/>
            <w:noWrap/>
            <w:vAlign w:val="bottom"/>
            <w:hideMark/>
          </w:tcPr>
          <w:p w14:paraId="28DA0B9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1.902</w:t>
            </w:r>
          </w:p>
        </w:tc>
        <w:tc>
          <w:tcPr>
            <w:tcW w:w="1090" w:type="dxa"/>
            <w:tcBorders>
              <w:top w:val="nil"/>
              <w:left w:val="nil"/>
              <w:bottom w:val="nil"/>
              <w:right w:val="nil"/>
            </w:tcBorders>
            <w:shd w:val="clear" w:color="000000" w:fill="FFFFFF"/>
            <w:noWrap/>
            <w:vAlign w:val="bottom"/>
            <w:hideMark/>
          </w:tcPr>
          <w:p w14:paraId="4FFC5C4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-6.880</w:t>
            </w:r>
          </w:p>
        </w:tc>
        <w:tc>
          <w:tcPr>
            <w:tcW w:w="1090" w:type="dxa"/>
            <w:tcBorders>
              <w:top w:val="nil"/>
              <w:left w:val="nil"/>
              <w:bottom w:val="nil"/>
              <w:right w:val="nil"/>
            </w:tcBorders>
            <w:shd w:val="clear" w:color="000000" w:fill="FFFFFF"/>
            <w:noWrap/>
            <w:vAlign w:val="bottom"/>
            <w:hideMark/>
          </w:tcPr>
          <w:p w14:paraId="1F6CEC4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3.799</w:t>
            </w:r>
          </w:p>
        </w:tc>
        <w:tc>
          <w:tcPr>
            <w:tcW w:w="956" w:type="dxa"/>
            <w:tcBorders>
              <w:top w:val="nil"/>
              <w:left w:val="nil"/>
              <w:bottom w:val="nil"/>
              <w:right w:val="nil"/>
            </w:tcBorders>
            <w:shd w:val="clear" w:color="000000" w:fill="FFFFFF"/>
            <w:noWrap/>
            <w:vAlign w:val="bottom"/>
            <w:hideMark/>
          </w:tcPr>
          <w:p w14:paraId="30B0590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1960-Q1</w:t>
            </w:r>
          </w:p>
        </w:tc>
        <w:tc>
          <w:tcPr>
            <w:tcW w:w="956" w:type="dxa"/>
            <w:tcBorders>
              <w:top w:val="nil"/>
              <w:left w:val="nil"/>
              <w:bottom w:val="nil"/>
              <w:right w:val="nil"/>
            </w:tcBorders>
            <w:shd w:val="clear" w:color="000000" w:fill="FFFFFF"/>
            <w:noWrap/>
            <w:vAlign w:val="bottom"/>
            <w:hideMark/>
          </w:tcPr>
          <w:p w14:paraId="7853113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25C952D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260</w:t>
            </w:r>
          </w:p>
        </w:tc>
      </w:tr>
      <w:tr w:rsidR="00AE739C" w:rsidRPr="00935EAC" w14:paraId="5AB46024" w14:textId="77777777" w:rsidTr="0073265E">
        <w:trPr>
          <w:trHeight w:val="170"/>
        </w:trPr>
        <w:tc>
          <w:tcPr>
            <w:tcW w:w="960" w:type="dxa"/>
            <w:tcBorders>
              <w:top w:val="nil"/>
              <w:left w:val="nil"/>
              <w:bottom w:val="nil"/>
              <w:right w:val="nil"/>
            </w:tcBorders>
            <w:shd w:val="clear" w:color="000000" w:fill="FFFFFF"/>
            <w:noWrap/>
            <w:vAlign w:val="bottom"/>
            <w:hideMark/>
          </w:tcPr>
          <w:p w14:paraId="44DD3D9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74</w:t>
            </w:r>
          </w:p>
        </w:tc>
        <w:tc>
          <w:tcPr>
            <w:tcW w:w="2254" w:type="dxa"/>
            <w:tcBorders>
              <w:top w:val="nil"/>
              <w:left w:val="nil"/>
              <w:bottom w:val="nil"/>
              <w:right w:val="nil"/>
            </w:tcBorders>
            <w:shd w:val="clear" w:color="000000" w:fill="FFFFFF"/>
            <w:noWrap/>
            <w:vAlign w:val="bottom"/>
            <w:hideMark/>
          </w:tcPr>
          <w:p w14:paraId="7690285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United States</w:t>
            </w:r>
          </w:p>
        </w:tc>
        <w:tc>
          <w:tcPr>
            <w:tcW w:w="1090" w:type="dxa"/>
            <w:tcBorders>
              <w:top w:val="nil"/>
              <w:left w:val="nil"/>
              <w:bottom w:val="nil"/>
              <w:right w:val="nil"/>
            </w:tcBorders>
            <w:shd w:val="clear" w:color="000000" w:fill="FFFFFF"/>
            <w:noWrap/>
            <w:vAlign w:val="bottom"/>
            <w:hideMark/>
          </w:tcPr>
          <w:p w14:paraId="13694A3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-1.731</w:t>
            </w:r>
          </w:p>
        </w:tc>
        <w:tc>
          <w:tcPr>
            <w:tcW w:w="1030" w:type="dxa"/>
            <w:tcBorders>
              <w:top w:val="nil"/>
              <w:left w:val="nil"/>
              <w:bottom w:val="nil"/>
              <w:right w:val="nil"/>
            </w:tcBorders>
            <w:shd w:val="clear" w:color="000000" w:fill="FFFFFF"/>
            <w:noWrap/>
            <w:vAlign w:val="bottom"/>
            <w:hideMark/>
          </w:tcPr>
          <w:p w14:paraId="4950A59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1.846</w:t>
            </w:r>
          </w:p>
        </w:tc>
        <w:tc>
          <w:tcPr>
            <w:tcW w:w="1090" w:type="dxa"/>
            <w:tcBorders>
              <w:top w:val="nil"/>
              <w:left w:val="nil"/>
              <w:bottom w:val="nil"/>
              <w:right w:val="nil"/>
            </w:tcBorders>
            <w:shd w:val="clear" w:color="000000" w:fill="FFFFFF"/>
            <w:noWrap/>
            <w:vAlign w:val="bottom"/>
            <w:hideMark/>
          </w:tcPr>
          <w:p w14:paraId="35EDD05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-6.300</w:t>
            </w:r>
          </w:p>
        </w:tc>
        <w:tc>
          <w:tcPr>
            <w:tcW w:w="1090" w:type="dxa"/>
            <w:tcBorders>
              <w:top w:val="nil"/>
              <w:left w:val="nil"/>
              <w:bottom w:val="nil"/>
              <w:right w:val="nil"/>
            </w:tcBorders>
            <w:shd w:val="clear" w:color="000000" w:fill="FFFFFF"/>
            <w:noWrap/>
            <w:vAlign w:val="bottom"/>
            <w:hideMark/>
          </w:tcPr>
          <w:p w14:paraId="7F5DCFA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1.214</w:t>
            </w:r>
          </w:p>
        </w:tc>
        <w:tc>
          <w:tcPr>
            <w:tcW w:w="956" w:type="dxa"/>
            <w:tcBorders>
              <w:top w:val="nil"/>
              <w:left w:val="nil"/>
              <w:bottom w:val="nil"/>
              <w:right w:val="nil"/>
            </w:tcBorders>
            <w:shd w:val="clear" w:color="000000" w:fill="FFFFFF"/>
            <w:noWrap/>
            <w:vAlign w:val="bottom"/>
            <w:hideMark/>
          </w:tcPr>
          <w:p w14:paraId="4CF408C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1960-Q1</w:t>
            </w:r>
          </w:p>
        </w:tc>
        <w:tc>
          <w:tcPr>
            <w:tcW w:w="956" w:type="dxa"/>
            <w:tcBorders>
              <w:top w:val="nil"/>
              <w:left w:val="nil"/>
              <w:bottom w:val="nil"/>
              <w:right w:val="nil"/>
            </w:tcBorders>
            <w:shd w:val="clear" w:color="000000" w:fill="FFFFFF"/>
            <w:noWrap/>
            <w:vAlign w:val="bottom"/>
            <w:hideMark/>
          </w:tcPr>
          <w:p w14:paraId="4902266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7287B19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260</w:t>
            </w:r>
          </w:p>
        </w:tc>
      </w:tr>
      <w:tr w:rsidR="00AE739C" w:rsidRPr="00935EAC" w14:paraId="7EB076D4" w14:textId="77777777" w:rsidTr="0073265E">
        <w:trPr>
          <w:trHeight w:val="170"/>
        </w:trPr>
        <w:tc>
          <w:tcPr>
            <w:tcW w:w="960" w:type="dxa"/>
            <w:tcBorders>
              <w:top w:val="nil"/>
              <w:left w:val="nil"/>
              <w:bottom w:val="nil"/>
              <w:right w:val="nil"/>
            </w:tcBorders>
            <w:shd w:val="clear" w:color="000000" w:fill="FFFFFF"/>
            <w:noWrap/>
            <w:vAlign w:val="bottom"/>
            <w:hideMark/>
          </w:tcPr>
          <w:p w14:paraId="54D93C2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75</w:t>
            </w:r>
          </w:p>
        </w:tc>
        <w:tc>
          <w:tcPr>
            <w:tcW w:w="2254" w:type="dxa"/>
            <w:tcBorders>
              <w:top w:val="nil"/>
              <w:left w:val="nil"/>
              <w:bottom w:val="nil"/>
              <w:right w:val="nil"/>
            </w:tcBorders>
            <w:shd w:val="clear" w:color="000000" w:fill="FFFFFF"/>
            <w:noWrap/>
            <w:vAlign w:val="bottom"/>
            <w:hideMark/>
          </w:tcPr>
          <w:p w14:paraId="2CE4FC9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Uruguay</w:t>
            </w:r>
          </w:p>
        </w:tc>
        <w:tc>
          <w:tcPr>
            <w:tcW w:w="1090" w:type="dxa"/>
            <w:tcBorders>
              <w:top w:val="nil"/>
              <w:left w:val="nil"/>
              <w:bottom w:val="nil"/>
              <w:right w:val="nil"/>
            </w:tcBorders>
            <w:shd w:val="clear" w:color="000000" w:fill="FFFFFF"/>
            <w:noWrap/>
            <w:vAlign w:val="bottom"/>
            <w:hideMark/>
          </w:tcPr>
          <w:p w14:paraId="67BBA3B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-1.272</w:t>
            </w:r>
          </w:p>
        </w:tc>
        <w:tc>
          <w:tcPr>
            <w:tcW w:w="1030" w:type="dxa"/>
            <w:tcBorders>
              <w:top w:val="nil"/>
              <w:left w:val="nil"/>
              <w:bottom w:val="nil"/>
              <w:right w:val="nil"/>
            </w:tcBorders>
            <w:shd w:val="clear" w:color="000000" w:fill="FFFFFF"/>
            <w:noWrap/>
            <w:vAlign w:val="bottom"/>
            <w:hideMark/>
          </w:tcPr>
          <w:p w14:paraId="24859D4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2.100</w:t>
            </w:r>
          </w:p>
        </w:tc>
        <w:tc>
          <w:tcPr>
            <w:tcW w:w="1090" w:type="dxa"/>
            <w:tcBorders>
              <w:top w:val="nil"/>
              <w:left w:val="nil"/>
              <w:bottom w:val="nil"/>
              <w:right w:val="nil"/>
            </w:tcBorders>
            <w:shd w:val="clear" w:color="000000" w:fill="FFFFFF"/>
            <w:noWrap/>
            <w:vAlign w:val="bottom"/>
            <w:hideMark/>
          </w:tcPr>
          <w:p w14:paraId="34EF337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-8.082</w:t>
            </w:r>
          </w:p>
        </w:tc>
        <w:tc>
          <w:tcPr>
            <w:tcW w:w="1090" w:type="dxa"/>
            <w:tcBorders>
              <w:top w:val="nil"/>
              <w:left w:val="nil"/>
              <w:bottom w:val="nil"/>
              <w:right w:val="nil"/>
            </w:tcBorders>
            <w:shd w:val="clear" w:color="000000" w:fill="FFFFFF"/>
            <w:noWrap/>
            <w:vAlign w:val="bottom"/>
            <w:hideMark/>
          </w:tcPr>
          <w:p w14:paraId="5796161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3.797</w:t>
            </w:r>
          </w:p>
        </w:tc>
        <w:tc>
          <w:tcPr>
            <w:tcW w:w="956" w:type="dxa"/>
            <w:tcBorders>
              <w:top w:val="nil"/>
              <w:left w:val="nil"/>
              <w:bottom w:val="nil"/>
              <w:right w:val="nil"/>
            </w:tcBorders>
            <w:shd w:val="clear" w:color="000000" w:fill="FFFFFF"/>
            <w:noWrap/>
            <w:vAlign w:val="bottom"/>
            <w:hideMark/>
          </w:tcPr>
          <w:p w14:paraId="33D9B96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1999-Q1</w:t>
            </w:r>
          </w:p>
        </w:tc>
        <w:tc>
          <w:tcPr>
            <w:tcW w:w="956" w:type="dxa"/>
            <w:tcBorders>
              <w:top w:val="nil"/>
              <w:left w:val="nil"/>
              <w:bottom w:val="nil"/>
              <w:right w:val="nil"/>
            </w:tcBorders>
            <w:shd w:val="clear" w:color="000000" w:fill="FFFFFF"/>
            <w:noWrap/>
            <w:vAlign w:val="bottom"/>
            <w:hideMark/>
          </w:tcPr>
          <w:p w14:paraId="42ABABB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2020-Q1</w:t>
            </w:r>
          </w:p>
        </w:tc>
        <w:tc>
          <w:tcPr>
            <w:tcW w:w="574" w:type="dxa"/>
            <w:tcBorders>
              <w:top w:val="nil"/>
              <w:left w:val="nil"/>
              <w:bottom w:val="nil"/>
              <w:right w:val="nil"/>
            </w:tcBorders>
            <w:shd w:val="clear" w:color="000000" w:fill="FFFFFF"/>
            <w:noWrap/>
            <w:vAlign w:val="bottom"/>
            <w:hideMark/>
          </w:tcPr>
          <w:p w14:paraId="4EE6935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85</w:t>
            </w:r>
          </w:p>
        </w:tc>
      </w:tr>
      <w:tr w:rsidR="00AE739C" w:rsidRPr="00935EAC" w14:paraId="3FE99CCC" w14:textId="77777777" w:rsidTr="0073265E">
        <w:trPr>
          <w:trHeight w:val="170"/>
        </w:trPr>
        <w:tc>
          <w:tcPr>
            <w:tcW w:w="960" w:type="dxa"/>
            <w:tcBorders>
              <w:top w:val="nil"/>
              <w:left w:val="nil"/>
              <w:bottom w:val="nil"/>
              <w:right w:val="nil"/>
            </w:tcBorders>
            <w:shd w:val="clear" w:color="000000" w:fill="FFFFFF"/>
            <w:noWrap/>
            <w:vAlign w:val="bottom"/>
            <w:hideMark/>
          </w:tcPr>
          <w:p w14:paraId="52CBA29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76</w:t>
            </w:r>
          </w:p>
        </w:tc>
        <w:tc>
          <w:tcPr>
            <w:tcW w:w="2254" w:type="dxa"/>
            <w:tcBorders>
              <w:top w:val="nil"/>
              <w:left w:val="nil"/>
              <w:bottom w:val="nil"/>
              <w:right w:val="nil"/>
            </w:tcBorders>
            <w:shd w:val="clear" w:color="000000" w:fill="FFFFFF"/>
            <w:noWrap/>
            <w:vAlign w:val="bottom"/>
            <w:hideMark/>
          </w:tcPr>
          <w:p w14:paraId="692A6E1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Venezuela  Rb</w:t>
            </w:r>
          </w:p>
        </w:tc>
        <w:tc>
          <w:tcPr>
            <w:tcW w:w="1090" w:type="dxa"/>
            <w:tcBorders>
              <w:top w:val="nil"/>
              <w:left w:val="nil"/>
              <w:bottom w:val="nil"/>
              <w:right w:val="nil"/>
            </w:tcBorders>
            <w:shd w:val="clear" w:color="000000" w:fill="FFFFFF"/>
            <w:noWrap/>
            <w:vAlign w:val="bottom"/>
            <w:hideMark/>
          </w:tcPr>
          <w:p w14:paraId="1BCF9C9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4.906</w:t>
            </w:r>
          </w:p>
        </w:tc>
        <w:tc>
          <w:tcPr>
            <w:tcW w:w="1030" w:type="dxa"/>
            <w:tcBorders>
              <w:top w:val="nil"/>
              <w:left w:val="nil"/>
              <w:bottom w:val="nil"/>
              <w:right w:val="nil"/>
            </w:tcBorders>
            <w:shd w:val="clear" w:color="000000" w:fill="FFFFFF"/>
            <w:noWrap/>
            <w:vAlign w:val="bottom"/>
            <w:hideMark/>
          </w:tcPr>
          <w:p w14:paraId="06B713F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6.186</w:t>
            </w:r>
          </w:p>
        </w:tc>
        <w:tc>
          <w:tcPr>
            <w:tcW w:w="1090" w:type="dxa"/>
            <w:tcBorders>
              <w:top w:val="nil"/>
              <w:left w:val="nil"/>
              <w:bottom w:val="nil"/>
              <w:right w:val="nil"/>
            </w:tcBorders>
            <w:shd w:val="clear" w:color="000000" w:fill="FFFFFF"/>
            <w:noWrap/>
            <w:vAlign w:val="bottom"/>
            <w:hideMark/>
          </w:tcPr>
          <w:p w14:paraId="3885ACA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-6.652</w:t>
            </w:r>
          </w:p>
        </w:tc>
        <w:tc>
          <w:tcPr>
            <w:tcW w:w="1090" w:type="dxa"/>
            <w:tcBorders>
              <w:top w:val="nil"/>
              <w:left w:val="nil"/>
              <w:bottom w:val="nil"/>
              <w:right w:val="nil"/>
            </w:tcBorders>
            <w:shd w:val="clear" w:color="000000" w:fill="FFFFFF"/>
            <w:noWrap/>
            <w:vAlign w:val="bottom"/>
            <w:hideMark/>
          </w:tcPr>
          <w:p w14:paraId="7B3DEFF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24.883</w:t>
            </w:r>
          </w:p>
        </w:tc>
        <w:tc>
          <w:tcPr>
            <w:tcW w:w="956" w:type="dxa"/>
            <w:tcBorders>
              <w:top w:val="nil"/>
              <w:left w:val="nil"/>
              <w:bottom w:val="nil"/>
              <w:right w:val="nil"/>
            </w:tcBorders>
            <w:shd w:val="clear" w:color="000000" w:fill="FFFFFF"/>
            <w:noWrap/>
            <w:vAlign w:val="bottom"/>
            <w:hideMark/>
          </w:tcPr>
          <w:p w14:paraId="122BBA6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1994-Q1</w:t>
            </w:r>
          </w:p>
        </w:tc>
        <w:tc>
          <w:tcPr>
            <w:tcW w:w="956" w:type="dxa"/>
            <w:tcBorders>
              <w:top w:val="nil"/>
              <w:left w:val="nil"/>
              <w:bottom w:val="nil"/>
              <w:right w:val="nil"/>
            </w:tcBorders>
            <w:shd w:val="clear" w:color="000000" w:fill="FFFFFF"/>
            <w:noWrap/>
            <w:vAlign w:val="bottom"/>
            <w:hideMark/>
          </w:tcPr>
          <w:p w14:paraId="329A31E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2014-Q4</w:t>
            </w:r>
          </w:p>
        </w:tc>
        <w:tc>
          <w:tcPr>
            <w:tcW w:w="574" w:type="dxa"/>
            <w:tcBorders>
              <w:top w:val="nil"/>
              <w:left w:val="nil"/>
              <w:bottom w:val="nil"/>
              <w:right w:val="nil"/>
            </w:tcBorders>
            <w:shd w:val="clear" w:color="000000" w:fill="FFFFFF"/>
            <w:noWrap/>
            <w:vAlign w:val="bottom"/>
            <w:hideMark/>
          </w:tcPr>
          <w:p w14:paraId="6079E8E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84</w:t>
            </w:r>
          </w:p>
        </w:tc>
      </w:tr>
      <w:tr w:rsidR="00AE739C" w:rsidRPr="00935EAC" w14:paraId="1392DD2F" w14:textId="77777777" w:rsidTr="0073265E">
        <w:trPr>
          <w:trHeight w:val="170"/>
        </w:trPr>
        <w:tc>
          <w:tcPr>
            <w:tcW w:w="960" w:type="dxa"/>
            <w:tcBorders>
              <w:top w:val="nil"/>
              <w:left w:val="nil"/>
              <w:bottom w:val="single" w:sz="4" w:space="0" w:color="auto"/>
              <w:right w:val="nil"/>
            </w:tcBorders>
            <w:shd w:val="clear" w:color="000000" w:fill="FFFFFF"/>
            <w:noWrap/>
            <w:vAlign w:val="bottom"/>
            <w:hideMark/>
          </w:tcPr>
          <w:p w14:paraId="003109A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77</w:t>
            </w:r>
          </w:p>
        </w:tc>
        <w:tc>
          <w:tcPr>
            <w:tcW w:w="2254" w:type="dxa"/>
            <w:tcBorders>
              <w:top w:val="nil"/>
              <w:left w:val="nil"/>
              <w:bottom w:val="single" w:sz="4" w:space="0" w:color="auto"/>
              <w:right w:val="nil"/>
            </w:tcBorders>
            <w:shd w:val="clear" w:color="000000" w:fill="FFFFFF"/>
            <w:noWrap/>
            <w:vAlign w:val="bottom"/>
            <w:hideMark/>
          </w:tcPr>
          <w:p w14:paraId="744B8FA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Vietnam</w:t>
            </w:r>
          </w:p>
        </w:tc>
        <w:tc>
          <w:tcPr>
            <w:tcW w:w="1090" w:type="dxa"/>
            <w:tcBorders>
              <w:top w:val="nil"/>
              <w:left w:val="nil"/>
              <w:bottom w:val="single" w:sz="4" w:space="0" w:color="auto"/>
              <w:right w:val="nil"/>
            </w:tcBorders>
            <w:shd w:val="clear" w:color="000000" w:fill="FFFFFF"/>
            <w:noWrap/>
            <w:vAlign w:val="bottom"/>
            <w:hideMark/>
          </w:tcPr>
          <w:p w14:paraId="11D2C08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-1.302</w:t>
            </w:r>
          </w:p>
        </w:tc>
        <w:tc>
          <w:tcPr>
            <w:tcW w:w="1030" w:type="dxa"/>
            <w:tcBorders>
              <w:top w:val="nil"/>
              <w:left w:val="nil"/>
              <w:bottom w:val="single" w:sz="4" w:space="0" w:color="auto"/>
              <w:right w:val="nil"/>
            </w:tcBorders>
            <w:shd w:val="clear" w:color="000000" w:fill="FFFFFF"/>
            <w:noWrap/>
            <w:vAlign w:val="bottom"/>
            <w:hideMark/>
          </w:tcPr>
          <w:p w14:paraId="5D31C30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6.510</w:t>
            </w:r>
          </w:p>
        </w:tc>
        <w:tc>
          <w:tcPr>
            <w:tcW w:w="1090" w:type="dxa"/>
            <w:tcBorders>
              <w:top w:val="nil"/>
              <w:left w:val="nil"/>
              <w:bottom w:val="single" w:sz="4" w:space="0" w:color="auto"/>
              <w:right w:val="nil"/>
            </w:tcBorders>
            <w:shd w:val="clear" w:color="000000" w:fill="FFFFFF"/>
            <w:noWrap/>
            <w:vAlign w:val="bottom"/>
            <w:hideMark/>
          </w:tcPr>
          <w:p w14:paraId="5912D8C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-38.299</w:t>
            </w:r>
          </w:p>
        </w:tc>
        <w:tc>
          <w:tcPr>
            <w:tcW w:w="1090" w:type="dxa"/>
            <w:tcBorders>
              <w:top w:val="nil"/>
              <w:left w:val="nil"/>
              <w:bottom w:val="single" w:sz="4" w:space="0" w:color="auto"/>
              <w:right w:val="nil"/>
            </w:tcBorders>
            <w:shd w:val="clear" w:color="000000" w:fill="FFFFFF"/>
            <w:noWrap/>
            <w:vAlign w:val="bottom"/>
            <w:hideMark/>
          </w:tcPr>
          <w:p w14:paraId="431314D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8.760</w:t>
            </w:r>
          </w:p>
        </w:tc>
        <w:tc>
          <w:tcPr>
            <w:tcW w:w="956" w:type="dxa"/>
            <w:tcBorders>
              <w:top w:val="nil"/>
              <w:left w:val="nil"/>
              <w:bottom w:val="single" w:sz="4" w:space="0" w:color="auto"/>
              <w:right w:val="nil"/>
            </w:tcBorders>
            <w:shd w:val="clear" w:color="000000" w:fill="FFFFFF"/>
            <w:noWrap/>
            <w:vAlign w:val="bottom"/>
            <w:hideMark/>
          </w:tcPr>
          <w:p w14:paraId="4E13986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1996-Q1</w:t>
            </w:r>
          </w:p>
        </w:tc>
        <w:tc>
          <w:tcPr>
            <w:tcW w:w="956" w:type="dxa"/>
            <w:tcBorders>
              <w:top w:val="nil"/>
              <w:left w:val="nil"/>
              <w:bottom w:val="single" w:sz="4" w:space="0" w:color="auto"/>
              <w:right w:val="nil"/>
            </w:tcBorders>
            <w:shd w:val="clear" w:color="000000" w:fill="FFFFFF"/>
            <w:noWrap/>
            <w:vAlign w:val="bottom"/>
            <w:hideMark/>
          </w:tcPr>
          <w:p w14:paraId="60CAA3D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2021-Q4</w:t>
            </w:r>
          </w:p>
        </w:tc>
        <w:tc>
          <w:tcPr>
            <w:tcW w:w="574" w:type="dxa"/>
            <w:tcBorders>
              <w:top w:val="nil"/>
              <w:left w:val="nil"/>
              <w:bottom w:val="single" w:sz="4" w:space="0" w:color="auto"/>
              <w:right w:val="nil"/>
            </w:tcBorders>
            <w:shd w:val="clear" w:color="000000" w:fill="FFFFFF"/>
            <w:noWrap/>
            <w:vAlign w:val="bottom"/>
            <w:hideMark/>
          </w:tcPr>
          <w:p w14:paraId="58FD96E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104</w:t>
            </w:r>
          </w:p>
        </w:tc>
      </w:tr>
    </w:tbl>
    <w:p w14:paraId="54450E56" w14:textId="6DE1C95D" w:rsidR="002A4FF4" w:rsidRPr="00935EAC" w:rsidRDefault="002A4FF4" w:rsidP="0073265E">
      <w:pPr>
        <w:widowControl w:val="0"/>
        <w:autoSpaceDE w:val="0"/>
        <w:autoSpaceDN w:val="0"/>
        <w:spacing w:after="0" w:line="276" w:lineRule="auto"/>
        <w:ind w:firstLine="360"/>
        <w:jc w:val="both"/>
        <w:rPr>
          <w:rFonts w:eastAsia="Times New Roman" w:cs="Times New Roman"/>
          <w:sz w:val="20"/>
          <w:szCs w:val="20"/>
        </w:rPr>
      </w:pPr>
      <w:r w:rsidRPr="00935EAC">
        <w:rPr>
          <w:rFonts w:eastAsia="Times New Roman" w:cs="Times New Roman"/>
          <w:sz w:val="20"/>
          <w:szCs w:val="20"/>
        </w:rPr>
        <w:t>Source: authors’ calculations.</w:t>
      </w:r>
    </w:p>
    <w:p w14:paraId="7C0850E4" w14:textId="3E836FE7" w:rsidR="002A4FF4" w:rsidRPr="00935EAC" w:rsidRDefault="002A4FF4" w:rsidP="0073265E">
      <w:pPr>
        <w:ind w:firstLine="360"/>
        <w:jc w:val="both"/>
        <w:rPr>
          <w:rFonts w:eastAsia="Times New Roman" w:cs="Times New Roman"/>
          <w:sz w:val="22"/>
        </w:rPr>
      </w:pPr>
      <w:r w:rsidRPr="00935EAC">
        <w:rPr>
          <w:rFonts w:eastAsia="Times New Roman" w:cs="Times New Roman"/>
          <w:sz w:val="22"/>
        </w:rPr>
        <w:br w:type="page"/>
      </w:r>
    </w:p>
    <w:p w14:paraId="5368B986" w14:textId="462029B1" w:rsidR="002A4FF4" w:rsidRPr="00935EAC" w:rsidRDefault="002A4FF4" w:rsidP="00CE1920">
      <w:pPr>
        <w:rPr>
          <w:rFonts w:eastAsia="Times New Roman"/>
          <w:b/>
          <w:bCs/>
        </w:rPr>
      </w:pPr>
      <w:r w:rsidRPr="0073265E">
        <w:rPr>
          <w:rFonts w:eastAsia="Times New Roman"/>
          <w:b/>
          <w:bCs/>
        </w:rPr>
        <w:lastRenderedPageBreak/>
        <w:t>Appendix 2</w:t>
      </w:r>
      <w:r w:rsidR="005A68E5" w:rsidRPr="0073265E">
        <w:rPr>
          <w:rFonts w:eastAsia="Times New Roman"/>
          <w:b/>
          <w:bCs/>
        </w:rPr>
        <w:t>.</w:t>
      </w:r>
      <w:r w:rsidRPr="0073265E">
        <w:rPr>
          <w:rFonts w:eastAsia="Times New Roman"/>
          <w:b/>
          <w:bCs/>
        </w:rPr>
        <w:t xml:space="preserve"> </w:t>
      </w:r>
      <w:r w:rsidR="005A68E5" w:rsidRPr="0073265E">
        <w:rPr>
          <w:rFonts w:eastAsia="Times New Roman"/>
          <w:b/>
          <w:bCs/>
        </w:rPr>
        <w:t>U</w:t>
      </w:r>
      <w:r w:rsidRPr="0073265E">
        <w:rPr>
          <w:rFonts w:eastAsia="Times New Roman"/>
          <w:b/>
          <w:bCs/>
        </w:rPr>
        <w:t>nit root tests for individual countries</w:t>
      </w:r>
    </w:p>
    <w:tbl>
      <w:tblPr>
        <w:tblW w:w="0" w:type="auto"/>
        <w:jc w:val="center"/>
        <w:tblCellMar>
          <w:left w:w="70" w:type="dxa"/>
          <w:right w:w="70" w:type="dxa"/>
        </w:tblCellMar>
        <w:tblLook w:val="04A0" w:firstRow="1" w:lastRow="0" w:firstColumn="1" w:lastColumn="0" w:noHBand="0" w:noVBand="1"/>
      </w:tblPr>
      <w:tblGrid>
        <w:gridCol w:w="1768"/>
        <w:gridCol w:w="957"/>
        <w:gridCol w:w="957"/>
        <w:gridCol w:w="957"/>
        <w:gridCol w:w="957"/>
        <w:gridCol w:w="957"/>
        <w:gridCol w:w="990"/>
        <w:gridCol w:w="440"/>
      </w:tblGrid>
      <w:tr w:rsidR="009C67F2" w:rsidRPr="00935EAC" w14:paraId="163BAB10" w14:textId="77777777" w:rsidTr="0073265E">
        <w:trPr>
          <w:trHeight w:val="20"/>
          <w:jc w:val="center"/>
        </w:trPr>
        <w:tc>
          <w:tcPr>
            <w:tcW w:w="0" w:type="auto"/>
            <w:tcBorders>
              <w:top w:val="single" w:sz="8" w:space="0" w:color="auto"/>
              <w:left w:val="nil"/>
              <w:bottom w:val="single" w:sz="8" w:space="0" w:color="auto"/>
              <w:right w:val="nil"/>
            </w:tcBorders>
            <w:shd w:val="clear" w:color="000000" w:fill="FFFFFF"/>
            <w:noWrap/>
            <w:vAlign w:val="center"/>
            <w:hideMark/>
          </w:tcPr>
          <w:p w14:paraId="593784EC" w14:textId="77777777" w:rsidR="009C67F2" w:rsidRPr="0073265E" w:rsidRDefault="009C67F2" w:rsidP="009C67F2">
            <w:pPr>
              <w:spacing w:after="0" w:line="240" w:lineRule="auto"/>
              <w:jc w:val="both"/>
              <w:rPr>
                <w:rFonts w:eastAsia="Times New Roman" w:cs="Times New Roman"/>
                <w:b/>
                <w:bCs/>
                <w:color w:val="000000"/>
                <w:sz w:val="20"/>
                <w:szCs w:val="20"/>
                <w:lang w:eastAsia="fr-FR"/>
              </w:rPr>
            </w:pPr>
            <w:r w:rsidRPr="00935EAC">
              <w:rPr>
                <w:rFonts w:eastAsia="Times New Roman" w:cs="Times New Roman"/>
                <w:b/>
                <w:bCs/>
                <w:color w:val="000000"/>
                <w:sz w:val="20"/>
                <w:szCs w:val="20"/>
                <w:lang w:eastAsia="fr-FR"/>
              </w:rPr>
              <w:t>Country</w:t>
            </w:r>
          </w:p>
        </w:tc>
        <w:tc>
          <w:tcPr>
            <w:tcW w:w="0" w:type="auto"/>
            <w:tcBorders>
              <w:top w:val="single" w:sz="8" w:space="0" w:color="auto"/>
              <w:left w:val="nil"/>
              <w:bottom w:val="single" w:sz="8" w:space="0" w:color="auto"/>
              <w:right w:val="nil"/>
            </w:tcBorders>
            <w:shd w:val="clear" w:color="000000" w:fill="FFFFFF"/>
            <w:noWrap/>
            <w:vAlign w:val="center"/>
            <w:hideMark/>
          </w:tcPr>
          <w:p w14:paraId="41F34918" w14:textId="77777777" w:rsidR="009C67F2" w:rsidRPr="0073265E" w:rsidRDefault="009C67F2" w:rsidP="009C67F2">
            <w:pPr>
              <w:spacing w:after="0" w:line="240" w:lineRule="auto"/>
              <w:jc w:val="both"/>
              <w:rPr>
                <w:rFonts w:eastAsia="Times New Roman" w:cs="Times New Roman"/>
                <w:b/>
                <w:bCs/>
                <w:color w:val="000000"/>
                <w:sz w:val="20"/>
                <w:szCs w:val="20"/>
                <w:lang w:eastAsia="fr-FR"/>
              </w:rPr>
            </w:pPr>
            <w:r w:rsidRPr="00935EAC">
              <w:rPr>
                <w:rFonts w:eastAsia="Times New Roman" w:cs="Times New Roman"/>
                <w:b/>
                <w:bCs/>
                <w:color w:val="000000"/>
                <w:sz w:val="20"/>
                <w:szCs w:val="20"/>
                <w:lang w:eastAsia="fr-FR"/>
              </w:rPr>
              <w:t>ADF</w:t>
            </w:r>
          </w:p>
        </w:tc>
        <w:tc>
          <w:tcPr>
            <w:tcW w:w="0" w:type="auto"/>
            <w:tcBorders>
              <w:top w:val="single" w:sz="8" w:space="0" w:color="auto"/>
              <w:left w:val="nil"/>
              <w:bottom w:val="single" w:sz="8" w:space="0" w:color="auto"/>
              <w:right w:val="nil"/>
            </w:tcBorders>
            <w:shd w:val="clear" w:color="000000" w:fill="FFFFFF"/>
            <w:noWrap/>
            <w:vAlign w:val="center"/>
            <w:hideMark/>
          </w:tcPr>
          <w:p w14:paraId="2D48051F" w14:textId="77777777" w:rsidR="009C67F2" w:rsidRPr="0073265E" w:rsidRDefault="009C67F2" w:rsidP="009C67F2">
            <w:pPr>
              <w:spacing w:after="0" w:line="240" w:lineRule="auto"/>
              <w:jc w:val="both"/>
              <w:rPr>
                <w:rFonts w:eastAsia="Times New Roman" w:cs="Times New Roman"/>
                <w:b/>
                <w:bCs/>
                <w:color w:val="000000"/>
                <w:sz w:val="20"/>
                <w:szCs w:val="20"/>
                <w:lang w:eastAsia="fr-FR"/>
              </w:rPr>
            </w:pPr>
            <w:r w:rsidRPr="00935EAC">
              <w:rPr>
                <w:rFonts w:eastAsia="Times New Roman" w:cs="Times New Roman"/>
                <w:b/>
                <w:bCs/>
                <w:color w:val="000000"/>
                <w:sz w:val="20"/>
                <w:szCs w:val="20"/>
                <w:lang w:eastAsia="fr-FR"/>
              </w:rPr>
              <w:t>DFGLS</w:t>
            </w:r>
          </w:p>
        </w:tc>
        <w:tc>
          <w:tcPr>
            <w:tcW w:w="0" w:type="auto"/>
            <w:tcBorders>
              <w:top w:val="single" w:sz="8" w:space="0" w:color="auto"/>
              <w:left w:val="nil"/>
              <w:bottom w:val="single" w:sz="8" w:space="0" w:color="auto"/>
              <w:right w:val="nil"/>
            </w:tcBorders>
            <w:shd w:val="clear" w:color="000000" w:fill="FFFFFF"/>
            <w:noWrap/>
            <w:vAlign w:val="center"/>
            <w:hideMark/>
          </w:tcPr>
          <w:p w14:paraId="3EF94337" w14:textId="50D4930A" w:rsidR="009C67F2" w:rsidRPr="0073265E" w:rsidRDefault="009C67F2" w:rsidP="009C67F2">
            <w:pPr>
              <w:spacing w:after="0" w:line="240" w:lineRule="auto"/>
              <w:jc w:val="both"/>
              <w:rPr>
                <w:rFonts w:eastAsia="Times New Roman" w:cs="Times New Roman"/>
                <w:b/>
                <w:bCs/>
                <w:color w:val="000000"/>
                <w:sz w:val="20"/>
                <w:szCs w:val="20"/>
                <w:lang w:eastAsia="fr-FR"/>
              </w:rPr>
            </w:pPr>
            <w:r w:rsidRPr="00935EAC">
              <w:rPr>
                <w:rFonts w:eastAsia="Times New Roman" w:cs="Times New Roman"/>
                <w:b/>
                <w:bCs/>
                <w:color w:val="000000"/>
                <w:sz w:val="20"/>
                <w:szCs w:val="20"/>
                <w:lang w:eastAsia="fr-FR"/>
              </w:rPr>
              <w:t>ZT</w:t>
            </w:r>
            <w:r w:rsidR="00B170F1" w:rsidRPr="00935EAC">
              <w:rPr>
                <w:rFonts w:eastAsia="Times New Roman" w:cs="Times New Roman"/>
                <w:b/>
                <w:bCs/>
                <w:color w:val="000000"/>
                <w:sz w:val="20"/>
                <w:szCs w:val="20"/>
                <w:lang w:eastAsia="fr-FR"/>
              </w:rPr>
              <w:t xml:space="preserve"> </w:t>
            </w:r>
            <w:r w:rsidRPr="00935EAC">
              <w:rPr>
                <w:rFonts w:eastAsia="Times New Roman" w:cs="Times New Roman"/>
                <w:b/>
                <w:bCs/>
                <w:color w:val="000000"/>
                <w:sz w:val="20"/>
                <w:szCs w:val="20"/>
                <w:lang w:eastAsia="fr-FR"/>
              </w:rPr>
              <w:t>PP</w:t>
            </w:r>
          </w:p>
        </w:tc>
        <w:tc>
          <w:tcPr>
            <w:tcW w:w="0" w:type="auto"/>
            <w:tcBorders>
              <w:top w:val="single" w:sz="8" w:space="0" w:color="auto"/>
              <w:left w:val="nil"/>
              <w:bottom w:val="single" w:sz="8" w:space="0" w:color="auto"/>
              <w:right w:val="nil"/>
            </w:tcBorders>
            <w:shd w:val="clear" w:color="000000" w:fill="FFFFFF"/>
            <w:noWrap/>
            <w:vAlign w:val="center"/>
            <w:hideMark/>
          </w:tcPr>
          <w:p w14:paraId="7B945D5C" w14:textId="53FDDD4A" w:rsidR="009C67F2" w:rsidRPr="0073265E" w:rsidRDefault="009C67F2" w:rsidP="009C67F2">
            <w:pPr>
              <w:spacing w:after="0" w:line="240" w:lineRule="auto"/>
              <w:jc w:val="both"/>
              <w:rPr>
                <w:rFonts w:eastAsia="Times New Roman" w:cs="Times New Roman"/>
                <w:b/>
                <w:bCs/>
                <w:color w:val="000000"/>
                <w:sz w:val="20"/>
                <w:szCs w:val="20"/>
                <w:lang w:eastAsia="fr-FR"/>
              </w:rPr>
            </w:pPr>
            <w:r w:rsidRPr="00935EAC">
              <w:rPr>
                <w:rFonts w:eastAsia="Times New Roman" w:cs="Times New Roman"/>
                <w:b/>
                <w:bCs/>
                <w:color w:val="000000"/>
                <w:sz w:val="20"/>
                <w:szCs w:val="20"/>
                <w:lang w:eastAsia="fr-FR"/>
              </w:rPr>
              <w:t>Za</w:t>
            </w:r>
            <w:r w:rsidR="00B170F1" w:rsidRPr="00935EAC">
              <w:rPr>
                <w:rFonts w:eastAsia="Times New Roman" w:cs="Times New Roman"/>
                <w:b/>
                <w:bCs/>
                <w:color w:val="000000"/>
                <w:sz w:val="20"/>
                <w:szCs w:val="20"/>
                <w:lang w:eastAsia="fr-FR"/>
              </w:rPr>
              <w:t xml:space="preserve"> </w:t>
            </w:r>
            <w:r w:rsidRPr="00935EAC">
              <w:rPr>
                <w:rFonts w:eastAsia="Times New Roman" w:cs="Times New Roman"/>
                <w:b/>
                <w:bCs/>
                <w:color w:val="000000"/>
                <w:sz w:val="20"/>
                <w:szCs w:val="20"/>
                <w:lang w:eastAsia="fr-FR"/>
              </w:rPr>
              <w:t>PP</w:t>
            </w:r>
          </w:p>
        </w:tc>
        <w:tc>
          <w:tcPr>
            <w:tcW w:w="0" w:type="auto"/>
            <w:tcBorders>
              <w:top w:val="single" w:sz="8" w:space="0" w:color="auto"/>
              <w:left w:val="nil"/>
              <w:bottom w:val="single" w:sz="8" w:space="0" w:color="auto"/>
              <w:right w:val="nil"/>
            </w:tcBorders>
            <w:shd w:val="clear" w:color="000000" w:fill="FFFFFF"/>
            <w:noWrap/>
            <w:vAlign w:val="center"/>
            <w:hideMark/>
          </w:tcPr>
          <w:p w14:paraId="05CE7E19" w14:textId="77777777" w:rsidR="009C67F2" w:rsidRPr="0073265E" w:rsidRDefault="009C67F2" w:rsidP="009C67F2">
            <w:pPr>
              <w:spacing w:after="0" w:line="240" w:lineRule="auto"/>
              <w:jc w:val="both"/>
              <w:rPr>
                <w:rFonts w:eastAsia="Times New Roman" w:cs="Times New Roman"/>
                <w:b/>
                <w:bCs/>
                <w:color w:val="000000"/>
                <w:sz w:val="20"/>
                <w:szCs w:val="20"/>
                <w:lang w:eastAsia="fr-FR"/>
              </w:rPr>
            </w:pPr>
            <w:r w:rsidRPr="00935EAC">
              <w:rPr>
                <w:rFonts w:eastAsia="Times New Roman" w:cs="Times New Roman"/>
                <w:b/>
                <w:bCs/>
                <w:color w:val="000000"/>
                <w:sz w:val="20"/>
                <w:szCs w:val="20"/>
                <w:lang w:eastAsia="fr-FR"/>
              </w:rPr>
              <w:t>LM</w:t>
            </w:r>
          </w:p>
        </w:tc>
        <w:tc>
          <w:tcPr>
            <w:tcW w:w="0" w:type="auto"/>
            <w:tcBorders>
              <w:top w:val="single" w:sz="8" w:space="0" w:color="auto"/>
              <w:left w:val="nil"/>
              <w:bottom w:val="single" w:sz="8" w:space="0" w:color="auto"/>
              <w:right w:val="nil"/>
            </w:tcBorders>
            <w:shd w:val="clear" w:color="000000" w:fill="FFFFFF"/>
            <w:noWrap/>
            <w:vAlign w:val="center"/>
            <w:hideMark/>
          </w:tcPr>
          <w:p w14:paraId="5DC8394E" w14:textId="77777777" w:rsidR="009C67F2" w:rsidRPr="0073265E" w:rsidRDefault="009C67F2" w:rsidP="009C67F2">
            <w:pPr>
              <w:spacing w:after="0" w:line="240" w:lineRule="auto"/>
              <w:jc w:val="both"/>
              <w:rPr>
                <w:rFonts w:eastAsia="Times New Roman" w:cs="Times New Roman"/>
                <w:b/>
                <w:bCs/>
                <w:color w:val="000000"/>
                <w:sz w:val="20"/>
                <w:szCs w:val="20"/>
                <w:lang w:eastAsia="fr-FR"/>
              </w:rPr>
            </w:pPr>
            <w:r w:rsidRPr="00935EAC">
              <w:rPr>
                <w:rFonts w:eastAsia="Times New Roman" w:cs="Times New Roman"/>
                <w:b/>
                <w:bCs/>
                <w:color w:val="000000"/>
                <w:sz w:val="20"/>
                <w:szCs w:val="20"/>
                <w:lang w:eastAsia="fr-FR"/>
              </w:rPr>
              <w:t>KPSS</w:t>
            </w:r>
          </w:p>
        </w:tc>
        <w:tc>
          <w:tcPr>
            <w:tcW w:w="0" w:type="auto"/>
            <w:tcBorders>
              <w:top w:val="single" w:sz="8" w:space="0" w:color="auto"/>
              <w:left w:val="nil"/>
              <w:bottom w:val="single" w:sz="8" w:space="0" w:color="auto"/>
              <w:right w:val="nil"/>
            </w:tcBorders>
            <w:shd w:val="clear" w:color="000000" w:fill="FFFFFF"/>
            <w:noWrap/>
            <w:vAlign w:val="center"/>
            <w:hideMark/>
          </w:tcPr>
          <w:p w14:paraId="654B5653" w14:textId="77777777" w:rsidR="009C67F2" w:rsidRPr="0073265E" w:rsidRDefault="009C67F2" w:rsidP="009C67F2">
            <w:pPr>
              <w:spacing w:after="0" w:line="240" w:lineRule="auto"/>
              <w:jc w:val="both"/>
              <w:rPr>
                <w:rFonts w:eastAsia="Times New Roman" w:cs="Times New Roman"/>
                <w:b/>
                <w:bCs/>
                <w:color w:val="000000"/>
                <w:sz w:val="20"/>
                <w:szCs w:val="20"/>
                <w:lang w:eastAsia="fr-FR"/>
              </w:rPr>
            </w:pPr>
            <w:r w:rsidRPr="00935EAC">
              <w:rPr>
                <w:rFonts w:eastAsia="Times New Roman" w:cs="Times New Roman"/>
                <w:b/>
                <w:bCs/>
                <w:color w:val="000000"/>
                <w:sz w:val="20"/>
                <w:szCs w:val="20"/>
                <w:lang w:eastAsia="fr-FR"/>
              </w:rPr>
              <w:t>N</w:t>
            </w:r>
          </w:p>
        </w:tc>
      </w:tr>
      <w:tr w:rsidR="009C67F2" w:rsidRPr="00935EAC" w14:paraId="4270C415"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0A1E306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Albania</w:t>
            </w:r>
          </w:p>
        </w:tc>
        <w:tc>
          <w:tcPr>
            <w:tcW w:w="0" w:type="auto"/>
            <w:tcBorders>
              <w:top w:val="nil"/>
              <w:left w:val="nil"/>
              <w:bottom w:val="nil"/>
              <w:right w:val="nil"/>
            </w:tcBorders>
            <w:shd w:val="clear" w:color="000000" w:fill="FFFFFF"/>
            <w:noWrap/>
            <w:vAlign w:val="center"/>
            <w:hideMark/>
          </w:tcPr>
          <w:p w14:paraId="43346E2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-0.3384</w:t>
            </w:r>
          </w:p>
        </w:tc>
        <w:tc>
          <w:tcPr>
            <w:tcW w:w="0" w:type="auto"/>
            <w:tcBorders>
              <w:top w:val="nil"/>
              <w:left w:val="nil"/>
              <w:bottom w:val="nil"/>
              <w:right w:val="nil"/>
            </w:tcBorders>
            <w:shd w:val="clear" w:color="000000" w:fill="FFFFFF"/>
            <w:noWrap/>
            <w:vAlign w:val="center"/>
            <w:hideMark/>
          </w:tcPr>
          <w:p w14:paraId="4D71F27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-0.6183</w:t>
            </w:r>
          </w:p>
        </w:tc>
        <w:tc>
          <w:tcPr>
            <w:tcW w:w="0" w:type="auto"/>
            <w:tcBorders>
              <w:top w:val="nil"/>
              <w:left w:val="nil"/>
              <w:bottom w:val="nil"/>
              <w:right w:val="nil"/>
            </w:tcBorders>
            <w:shd w:val="clear" w:color="000000" w:fill="FFFFFF"/>
            <w:noWrap/>
            <w:vAlign w:val="center"/>
            <w:hideMark/>
          </w:tcPr>
          <w:p w14:paraId="276F3FC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-2.86*</w:t>
            </w:r>
          </w:p>
        </w:tc>
        <w:tc>
          <w:tcPr>
            <w:tcW w:w="0" w:type="auto"/>
            <w:tcBorders>
              <w:top w:val="nil"/>
              <w:left w:val="nil"/>
              <w:bottom w:val="nil"/>
              <w:right w:val="nil"/>
            </w:tcBorders>
            <w:shd w:val="clear" w:color="000000" w:fill="FFFFFF"/>
            <w:noWrap/>
            <w:vAlign w:val="center"/>
            <w:hideMark/>
          </w:tcPr>
          <w:p w14:paraId="71EDB35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-15.96**</w:t>
            </w:r>
          </w:p>
        </w:tc>
        <w:tc>
          <w:tcPr>
            <w:tcW w:w="0" w:type="auto"/>
            <w:tcBorders>
              <w:top w:val="nil"/>
              <w:left w:val="nil"/>
              <w:bottom w:val="nil"/>
              <w:right w:val="nil"/>
            </w:tcBorders>
            <w:shd w:val="clear" w:color="000000" w:fill="FFFFFF"/>
            <w:noWrap/>
            <w:vAlign w:val="center"/>
            <w:hideMark/>
          </w:tcPr>
          <w:p w14:paraId="4706F85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-1.581</w:t>
            </w:r>
          </w:p>
        </w:tc>
        <w:tc>
          <w:tcPr>
            <w:tcW w:w="0" w:type="auto"/>
            <w:tcBorders>
              <w:top w:val="nil"/>
              <w:left w:val="nil"/>
              <w:bottom w:val="nil"/>
              <w:right w:val="nil"/>
            </w:tcBorders>
            <w:shd w:val="clear" w:color="000000" w:fill="FFFFFF"/>
            <w:noWrap/>
            <w:vAlign w:val="center"/>
            <w:hideMark/>
          </w:tcPr>
          <w:p w14:paraId="7171D75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1.5***</w:t>
            </w:r>
          </w:p>
        </w:tc>
        <w:tc>
          <w:tcPr>
            <w:tcW w:w="0" w:type="auto"/>
            <w:tcBorders>
              <w:top w:val="nil"/>
              <w:left w:val="nil"/>
              <w:bottom w:val="nil"/>
              <w:right w:val="nil"/>
            </w:tcBorders>
            <w:shd w:val="clear" w:color="000000" w:fill="FFFFFF"/>
            <w:noWrap/>
            <w:vAlign w:val="center"/>
            <w:hideMark/>
          </w:tcPr>
          <w:p w14:paraId="375E946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39</w:t>
            </w:r>
          </w:p>
        </w:tc>
      </w:tr>
      <w:tr w:rsidR="009C67F2" w:rsidRPr="00935EAC" w14:paraId="6679E8F6"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7B1F331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Argentina</w:t>
            </w:r>
          </w:p>
        </w:tc>
        <w:tc>
          <w:tcPr>
            <w:tcW w:w="0" w:type="auto"/>
            <w:tcBorders>
              <w:top w:val="nil"/>
              <w:left w:val="nil"/>
              <w:bottom w:val="nil"/>
              <w:right w:val="nil"/>
            </w:tcBorders>
            <w:shd w:val="clear" w:color="000000" w:fill="FFFFFF"/>
            <w:noWrap/>
            <w:vAlign w:val="center"/>
            <w:hideMark/>
          </w:tcPr>
          <w:p w14:paraId="76F7F4E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-5.224***</w:t>
            </w:r>
          </w:p>
        </w:tc>
        <w:tc>
          <w:tcPr>
            <w:tcW w:w="0" w:type="auto"/>
            <w:tcBorders>
              <w:top w:val="nil"/>
              <w:left w:val="nil"/>
              <w:bottom w:val="nil"/>
              <w:right w:val="nil"/>
            </w:tcBorders>
            <w:shd w:val="clear" w:color="000000" w:fill="FFFFFF"/>
            <w:noWrap/>
            <w:vAlign w:val="center"/>
            <w:hideMark/>
          </w:tcPr>
          <w:p w14:paraId="217B7CB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-4.954***</w:t>
            </w:r>
          </w:p>
        </w:tc>
        <w:tc>
          <w:tcPr>
            <w:tcW w:w="0" w:type="auto"/>
            <w:tcBorders>
              <w:top w:val="nil"/>
              <w:left w:val="nil"/>
              <w:bottom w:val="nil"/>
              <w:right w:val="nil"/>
            </w:tcBorders>
            <w:shd w:val="clear" w:color="000000" w:fill="FFFFFF"/>
            <w:noWrap/>
            <w:vAlign w:val="center"/>
            <w:hideMark/>
          </w:tcPr>
          <w:p w14:paraId="196C4BE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-5.224***</w:t>
            </w:r>
          </w:p>
        </w:tc>
        <w:tc>
          <w:tcPr>
            <w:tcW w:w="0" w:type="auto"/>
            <w:tcBorders>
              <w:top w:val="nil"/>
              <w:left w:val="nil"/>
              <w:bottom w:val="nil"/>
              <w:right w:val="nil"/>
            </w:tcBorders>
            <w:shd w:val="clear" w:color="000000" w:fill="FFFFFF"/>
            <w:noWrap/>
            <w:vAlign w:val="center"/>
            <w:hideMark/>
          </w:tcPr>
          <w:p w14:paraId="6AA7B09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-47.03***</w:t>
            </w:r>
          </w:p>
        </w:tc>
        <w:tc>
          <w:tcPr>
            <w:tcW w:w="0" w:type="auto"/>
            <w:tcBorders>
              <w:top w:val="nil"/>
              <w:left w:val="nil"/>
              <w:bottom w:val="nil"/>
              <w:right w:val="nil"/>
            </w:tcBorders>
            <w:shd w:val="clear" w:color="000000" w:fill="FFFFFF"/>
            <w:noWrap/>
            <w:vAlign w:val="center"/>
            <w:hideMark/>
          </w:tcPr>
          <w:p w14:paraId="3E2E26A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-5.172***</w:t>
            </w:r>
          </w:p>
        </w:tc>
        <w:tc>
          <w:tcPr>
            <w:tcW w:w="0" w:type="auto"/>
            <w:tcBorders>
              <w:top w:val="nil"/>
              <w:left w:val="nil"/>
              <w:bottom w:val="nil"/>
              <w:right w:val="nil"/>
            </w:tcBorders>
            <w:shd w:val="clear" w:color="000000" w:fill="FFFFFF"/>
            <w:noWrap/>
            <w:vAlign w:val="center"/>
            <w:hideMark/>
          </w:tcPr>
          <w:p w14:paraId="0B8DF5C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0.6126**</w:t>
            </w:r>
          </w:p>
        </w:tc>
        <w:tc>
          <w:tcPr>
            <w:tcW w:w="0" w:type="auto"/>
            <w:tcBorders>
              <w:top w:val="nil"/>
              <w:left w:val="nil"/>
              <w:bottom w:val="nil"/>
              <w:right w:val="nil"/>
            </w:tcBorders>
            <w:shd w:val="clear" w:color="000000" w:fill="FFFFFF"/>
            <w:noWrap/>
            <w:vAlign w:val="center"/>
            <w:hideMark/>
          </w:tcPr>
          <w:p w14:paraId="601A27E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160</w:t>
            </w:r>
          </w:p>
        </w:tc>
      </w:tr>
      <w:tr w:rsidR="009C67F2" w:rsidRPr="00935EAC" w14:paraId="300B2A14"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6DEB24F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Armenia</w:t>
            </w:r>
          </w:p>
        </w:tc>
        <w:tc>
          <w:tcPr>
            <w:tcW w:w="0" w:type="auto"/>
            <w:tcBorders>
              <w:top w:val="nil"/>
              <w:left w:val="nil"/>
              <w:bottom w:val="nil"/>
              <w:right w:val="nil"/>
            </w:tcBorders>
            <w:shd w:val="clear" w:color="000000" w:fill="FFFFFF"/>
            <w:noWrap/>
            <w:vAlign w:val="center"/>
            <w:hideMark/>
          </w:tcPr>
          <w:p w14:paraId="70F624B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-1.654</w:t>
            </w:r>
          </w:p>
        </w:tc>
        <w:tc>
          <w:tcPr>
            <w:tcW w:w="0" w:type="auto"/>
            <w:tcBorders>
              <w:top w:val="nil"/>
              <w:left w:val="nil"/>
              <w:bottom w:val="nil"/>
              <w:right w:val="nil"/>
            </w:tcBorders>
            <w:shd w:val="clear" w:color="000000" w:fill="FFFFFF"/>
            <w:noWrap/>
            <w:vAlign w:val="center"/>
            <w:hideMark/>
          </w:tcPr>
          <w:p w14:paraId="2DEC878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-0.102</w:t>
            </w:r>
          </w:p>
        </w:tc>
        <w:tc>
          <w:tcPr>
            <w:tcW w:w="0" w:type="auto"/>
            <w:tcBorders>
              <w:top w:val="nil"/>
              <w:left w:val="nil"/>
              <w:bottom w:val="nil"/>
              <w:right w:val="nil"/>
            </w:tcBorders>
            <w:shd w:val="clear" w:color="000000" w:fill="FFFFFF"/>
            <w:noWrap/>
            <w:vAlign w:val="center"/>
            <w:hideMark/>
          </w:tcPr>
          <w:p w14:paraId="661845A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-5.204***</w:t>
            </w:r>
          </w:p>
        </w:tc>
        <w:tc>
          <w:tcPr>
            <w:tcW w:w="0" w:type="auto"/>
            <w:tcBorders>
              <w:top w:val="nil"/>
              <w:left w:val="nil"/>
              <w:bottom w:val="nil"/>
              <w:right w:val="nil"/>
            </w:tcBorders>
            <w:shd w:val="clear" w:color="000000" w:fill="FFFFFF"/>
            <w:noWrap/>
            <w:vAlign w:val="center"/>
            <w:hideMark/>
          </w:tcPr>
          <w:p w14:paraId="4C34B19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-37.13***</w:t>
            </w:r>
          </w:p>
        </w:tc>
        <w:tc>
          <w:tcPr>
            <w:tcW w:w="0" w:type="auto"/>
            <w:tcBorders>
              <w:top w:val="nil"/>
              <w:left w:val="nil"/>
              <w:bottom w:val="nil"/>
              <w:right w:val="nil"/>
            </w:tcBorders>
            <w:shd w:val="clear" w:color="000000" w:fill="FFFFFF"/>
            <w:noWrap/>
            <w:vAlign w:val="center"/>
            <w:hideMark/>
          </w:tcPr>
          <w:p w14:paraId="1C8DE83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-1.254</w:t>
            </w:r>
          </w:p>
        </w:tc>
        <w:tc>
          <w:tcPr>
            <w:tcW w:w="0" w:type="auto"/>
            <w:tcBorders>
              <w:top w:val="nil"/>
              <w:left w:val="nil"/>
              <w:bottom w:val="nil"/>
              <w:right w:val="nil"/>
            </w:tcBorders>
            <w:shd w:val="clear" w:color="000000" w:fill="FFFFFF"/>
            <w:noWrap/>
            <w:vAlign w:val="center"/>
            <w:hideMark/>
          </w:tcPr>
          <w:p w14:paraId="0B12513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3.772***</w:t>
            </w:r>
          </w:p>
        </w:tc>
        <w:tc>
          <w:tcPr>
            <w:tcW w:w="0" w:type="auto"/>
            <w:tcBorders>
              <w:top w:val="nil"/>
              <w:left w:val="nil"/>
              <w:bottom w:val="nil"/>
              <w:right w:val="nil"/>
            </w:tcBorders>
            <w:shd w:val="clear" w:color="000000" w:fill="FFFFFF"/>
            <w:noWrap/>
            <w:vAlign w:val="center"/>
            <w:hideMark/>
          </w:tcPr>
          <w:p w14:paraId="58C2462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107</w:t>
            </w:r>
          </w:p>
        </w:tc>
      </w:tr>
      <w:tr w:rsidR="009C67F2" w:rsidRPr="00935EAC" w14:paraId="5F8071FC"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375A132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Australia</w:t>
            </w:r>
          </w:p>
        </w:tc>
        <w:tc>
          <w:tcPr>
            <w:tcW w:w="0" w:type="auto"/>
            <w:tcBorders>
              <w:top w:val="nil"/>
              <w:left w:val="nil"/>
              <w:bottom w:val="nil"/>
              <w:right w:val="nil"/>
            </w:tcBorders>
            <w:shd w:val="clear" w:color="000000" w:fill="FFFFFF"/>
            <w:noWrap/>
            <w:vAlign w:val="center"/>
            <w:hideMark/>
          </w:tcPr>
          <w:p w14:paraId="159DFA3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-2.843*</w:t>
            </w:r>
          </w:p>
        </w:tc>
        <w:tc>
          <w:tcPr>
            <w:tcW w:w="0" w:type="auto"/>
            <w:tcBorders>
              <w:top w:val="nil"/>
              <w:left w:val="nil"/>
              <w:bottom w:val="nil"/>
              <w:right w:val="nil"/>
            </w:tcBorders>
            <w:shd w:val="clear" w:color="000000" w:fill="FFFFFF"/>
            <w:noWrap/>
            <w:vAlign w:val="center"/>
            <w:hideMark/>
          </w:tcPr>
          <w:p w14:paraId="6893EBA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-2.053**</w:t>
            </w:r>
          </w:p>
        </w:tc>
        <w:tc>
          <w:tcPr>
            <w:tcW w:w="0" w:type="auto"/>
            <w:tcBorders>
              <w:top w:val="nil"/>
              <w:left w:val="nil"/>
              <w:bottom w:val="nil"/>
              <w:right w:val="nil"/>
            </w:tcBorders>
            <w:shd w:val="clear" w:color="000000" w:fill="FFFFFF"/>
            <w:noWrap/>
            <w:vAlign w:val="center"/>
            <w:hideMark/>
          </w:tcPr>
          <w:p w14:paraId="0DC4A5A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-3.765***</w:t>
            </w:r>
          </w:p>
        </w:tc>
        <w:tc>
          <w:tcPr>
            <w:tcW w:w="0" w:type="auto"/>
            <w:tcBorders>
              <w:top w:val="nil"/>
              <w:left w:val="nil"/>
              <w:bottom w:val="nil"/>
              <w:right w:val="nil"/>
            </w:tcBorders>
            <w:shd w:val="clear" w:color="000000" w:fill="FFFFFF"/>
            <w:noWrap/>
            <w:vAlign w:val="center"/>
            <w:hideMark/>
          </w:tcPr>
          <w:p w14:paraId="4C131FA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-27.01***</w:t>
            </w:r>
          </w:p>
        </w:tc>
        <w:tc>
          <w:tcPr>
            <w:tcW w:w="0" w:type="auto"/>
            <w:tcBorders>
              <w:top w:val="nil"/>
              <w:left w:val="nil"/>
              <w:bottom w:val="nil"/>
              <w:right w:val="nil"/>
            </w:tcBorders>
            <w:shd w:val="clear" w:color="000000" w:fill="FFFFFF"/>
            <w:noWrap/>
            <w:vAlign w:val="center"/>
            <w:hideMark/>
          </w:tcPr>
          <w:p w14:paraId="14B12CE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-2.464</w:t>
            </w:r>
          </w:p>
        </w:tc>
        <w:tc>
          <w:tcPr>
            <w:tcW w:w="0" w:type="auto"/>
            <w:tcBorders>
              <w:top w:val="nil"/>
              <w:left w:val="nil"/>
              <w:bottom w:val="nil"/>
              <w:right w:val="nil"/>
            </w:tcBorders>
            <w:shd w:val="clear" w:color="000000" w:fill="FFFFFF"/>
            <w:noWrap/>
            <w:vAlign w:val="center"/>
            <w:hideMark/>
          </w:tcPr>
          <w:p w14:paraId="6C150D8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3.271***</w:t>
            </w:r>
          </w:p>
        </w:tc>
        <w:tc>
          <w:tcPr>
            <w:tcW w:w="0" w:type="auto"/>
            <w:tcBorders>
              <w:top w:val="nil"/>
              <w:left w:val="nil"/>
              <w:bottom w:val="nil"/>
              <w:right w:val="nil"/>
            </w:tcBorders>
            <w:shd w:val="clear" w:color="000000" w:fill="FFFFFF"/>
            <w:noWrap/>
            <w:vAlign w:val="center"/>
            <w:hideMark/>
          </w:tcPr>
          <w:p w14:paraId="7EB421C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260</w:t>
            </w:r>
          </w:p>
        </w:tc>
      </w:tr>
      <w:tr w:rsidR="009C67F2" w:rsidRPr="00935EAC" w14:paraId="64C7020B"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5DA1AE4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Austria</w:t>
            </w:r>
          </w:p>
        </w:tc>
        <w:tc>
          <w:tcPr>
            <w:tcW w:w="0" w:type="auto"/>
            <w:tcBorders>
              <w:top w:val="nil"/>
              <w:left w:val="nil"/>
              <w:bottom w:val="nil"/>
              <w:right w:val="nil"/>
            </w:tcBorders>
            <w:shd w:val="clear" w:color="000000" w:fill="FFFFFF"/>
            <w:noWrap/>
            <w:vAlign w:val="center"/>
            <w:hideMark/>
          </w:tcPr>
          <w:p w14:paraId="1EA7E2E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-1.757</w:t>
            </w:r>
          </w:p>
        </w:tc>
        <w:tc>
          <w:tcPr>
            <w:tcW w:w="0" w:type="auto"/>
            <w:tcBorders>
              <w:top w:val="nil"/>
              <w:left w:val="nil"/>
              <w:bottom w:val="nil"/>
              <w:right w:val="nil"/>
            </w:tcBorders>
            <w:shd w:val="clear" w:color="000000" w:fill="FFFFFF"/>
            <w:noWrap/>
            <w:vAlign w:val="center"/>
            <w:hideMark/>
          </w:tcPr>
          <w:p w14:paraId="29B8EDE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-1.786*</w:t>
            </w:r>
          </w:p>
        </w:tc>
        <w:tc>
          <w:tcPr>
            <w:tcW w:w="0" w:type="auto"/>
            <w:tcBorders>
              <w:top w:val="nil"/>
              <w:left w:val="nil"/>
              <w:bottom w:val="nil"/>
              <w:right w:val="nil"/>
            </w:tcBorders>
            <w:shd w:val="clear" w:color="000000" w:fill="FFFFFF"/>
            <w:noWrap/>
            <w:vAlign w:val="center"/>
            <w:hideMark/>
          </w:tcPr>
          <w:p w14:paraId="368C321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-4.215***</w:t>
            </w:r>
          </w:p>
        </w:tc>
        <w:tc>
          <w:tcPr>
            <w:tcW w:w="0" w:type="auto"/>
            <w:tcBorders>
              <w:top w:val="nil"/>
              <w:left w:val="nil"/>
              <w:bottom w:val="nil"/>
              <w:right w:val="nil"/>
            </w:tcBorders>
            <w:shd w:val="clear" w:color="000000" w:fill="FFFFFF"/>
            <w:noWrap/>
            <w:vAlign w:val="center"/>
            <w:hideMark/>
          </w:tcPr>
          <w:p w14:paraId="3B69FDB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-33.22***</w:t>
            </w:r>
          </w:p>
        </w:tc>
        <w:tc>
          <w:tcPr>
            <w:tcW w:w="0" w:type="auto"/>
            <w:tcBorders>
              <w:top w:val="nil"/>
              <w:left w:val="nil"/>
              <w:bottom w:val="nil"/>
              <w:right w:val="nil"/>
            </w:tcBorders>
            <w:shd w:val="clear" w:color="000000" w:fill="FFFFFF"/>
            <w:noWrap/>
            <w:vAlign w:val="center"/>
            <w:hideMark/>
          </w:tcPr>
          <w:p w14:paraId="6C36FDC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-1.868</w:t>
            </w:r>
          </w:p>
        </w:tc>
        <w:tc>
          <w:tcPr>
            <w:tcW w:w="0" w:type="auto"/>
            <w:tcBorders>
              <w:top w:val="nil"/>
              <w:left w:val="nil"/>
              <w:bottom w:val="nil"/>
              <w:right w:val="nil"/>
            </w:tcBorders>
            <w:shd w:val="clear" w:color="000000" w:fill="FFFFFF"/>
            <w:noWrap/>
            <w:vAlign w:val="center"/>
            <w:hideMark/>
          </w:tcPr>
          <w:p w14:paraId="14B323F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9.343***</w:t>
            </w:r>
          </w:p>
        </w:tc>
        <w:tc>
          <w:tcPr>
            <w:tcW w:w="0" w:type="auto"/>
            <w:tcBorders>
              <w:top w:val="nil"/>
              <w:left w:val="nil"/>
              <w:bottom w:val="nil"/>
              <w:right w:val="nil"/>
            </w:tcBorders>
            <w:shd w:val="clear" w:color="000000" w:fill="FFFFFF"/>
            <w:noWrap/>
            <w:vAlign w:val="center"/>
            <w:hideMark/>
          </w:tcPr>
          <w:p w14:paraId="3776D49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220</w:t>
            </w:r>
          </w:p>
        </w:tc>
      </w:tr>
      <w:tr w:rsidR="009C67F2" w:rsidRPr="00935EAC" w14:paraId="653CDB32"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41A641A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Belarus</w:t>
            </w:r>
          </w:p>
        </w:tc>
        <w:tc>
          <w:tcPr>
            <w:tcW w:w="0" w:type="auto"/>
            <w:tcBorders>
              <w:top w:val="nil"/>
              <w:left w:val="nil"/>
              <w:bottom w:val="nil"/>
              <w:right w:val="nil"/>
            </w:tcBorders>
            <w:shd w:val="clear" w:color="000000" w:fill="FFFFFF"/>
            <w:noWrap/>
            <w:vAlign w:val="center"/>
            <w:hideMark/>
          </w:tcPr>
          <w:p w14:paraId="22308AF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-4.775***</w:t>
            </w:r>
          </w:p>
        </w:tc>
        <w:tc>
          <w:tcPr>
            <w:tcW w:w="0" w:type="auto"/>
            <w:tcBorders>
              <w:top w:val="nil"/>
              <w:left w:val="nil"/>
              <w:bottom w:val="nil"/>
              <w:right w:val="nil"/>
            </w:tcBorders>
            <w:shd w:val="clear" w:color="000000" w:fill="FFFFFF"/>
            <w:noWrap/>
            <w:vAlign w:val="center"/>
            <w:hideMark/>
          </w:tcPr>
          <w:p w14:paraId="3B4FF88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-4.791***</w:t>
            </w:r>
          </w:p>
        </w:tc>
        <w:tc>
          <w:tcPr>
            <w:tcW w:w="0" w:type="auto"/>
            <w:tcBorders>
              <w:top w:val="nil"/>
              <w:left w:val="nil"/>
              <w:bottom w:val="nil"/>
              <w:right w:val="nil"/>
            </w:tcBorders>
            <w:shd w:val="clear" w:color="000000" w:fill="FFFFFF"/>
            <w:noWrap/>
            <w:vAlign w:val="center"/>
            <w:hideMark/>
          </w:tcPr>
          <w:p w14:paraId="05FE21D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-4.775***</w:t>
            </w:r>
          </w:p>
        </w:tc>
        <w:tc>
          <w:tcPr>
            <w:tcW w:w="0" w:type="auto"/>
            <w:tcBorders>
              <w:top w:val="nil"/>
              <w:left w:val="nil"/>
              <w:bottom w:val="nil"/>
              <w:right w:val="nil"/>
            </w:tcBorders>
            <w:shd w:val="clear" w:color="000000" w:fill="FFFFFF"/>
            <w:noWrap/>
            <w:vAlign w:val="center"/>
            <w:hideMark/>
          </w:tcPr>
          <w:p w14:paraId="01661EC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-37.61***</w:t>
            </w:r>
          </w:p>
        </w:tc>
        <w:tc>
          <w:tcPr>
            <w:tcW w:w="0" w:type="auto"/>
            <w:tcBorders>
              <w:top w:val="nil"/>
              <w:left w:val="nil"/>
              <w:bottom w:val="nil"/>
              <w:right w:val="nil"/>
            </w:tcBorders>
            <w:shd w:val="clear" w:color="000000" w:fill="FFFFFF"/>
            <w:noWrap/>
            <w:vAlign w:val="center"/>
            <w:hideMark/>
          </w:tcPr>
          <w:p w14:paraId="45B7D66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-4.721***</w:t>
            </w:r>
          </w:p>
        </w:tc>
        <w:tc>
          <w:tcPr>
            <w:tcW w:w="0" w:type="auto"/>
            <w:tcBorders>
              <w:top w:val="nil"/>
              <w:left w:val="nil"/>
              <w:bottom w:val="nil"/>
              <w:right w:val="nil"/>
            </w:tcBorders>
            <w:shd w:val="clear" w:color="000000" w:fill="FFFFFF"/>
            <w:noWrap/>
            <w:vAlign w:val="center"/>
            <w:hideMark/>
          </w:tcPr>
          <w:p w14:paraId="38A89E3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0.5718**</w:t>
            </w:r>
          </w:p>
        </w:tc>
        <w:tc>
          <w:tcPr>
            <w:tcW w:w="0" w:type="auto"/>
            <w:tcBorders>
              <w:top w:val="nil"/>
              <w:left w:val="nil"/>
              <w:bottom w:val="nil"/>
              <w:right w:val="nil"/>
            </w:tcBorders>
            <w:shd w:val="clear" w:color="000000" w:fill="FFFFFF"/>
            <w:noWrap/>
            <w:vAlign w:val="center"/>
            <w:hideMark/>
          </w:tcPr>
          <w:p w14:paraId="37CA416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97</w:t>
            </w:r>
          </w:p>
        </w:tc>
      </w:tr>
      <w:tr w:rsidR="009C67F2" w:rsidRPr="00935EAC" w14:paraId="5B250105"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6AB1FCE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Belgium</w:t>
            </w:r>
          </w:p>
        </w:tc>
        <w:tc>
          <w:tcPr>
            <w:tcW w:w="0" w:type="auto"/>
            <w:tcBorders>
              <w:top w:val="nil"/>
              <w:left w:val="nil"/>
              <w:bottom w:val="nil"/>
              <w:right w:val="nil"/>
            </w:tcBorders>
            <w:shd w:val="clear" w:color="000000" w:fill="FFFFFF"/>
            <w:noWrap/>
            <w:vAlign w:val="center"/>
            <w:hideMark/>
          </w:tcPr>
          <w:p w14:paraId="493F3D4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-1.823</w:t>
            </w:r>
          </w:p>
        </w:tc>
        <w:tc>
          <w:tcPr>
            <w:tcW w:w="0" w:type="auto"/>
            <w:tcBorders>
              <w:top w:val="nil"/>
              <w:left w:val="nil"/>
              <w:bottom w:val="nil"/>
              <w:right w:val="nil"/>
            </w:tcBorders>
            <w:shd w:val="clear" w:color="000000" w:fill="FFFFFF"/>
            <w:noWrap/>
            <w:vAlign w:val="center"/>
            <w:hideMark/>
          </w:tcPr>
          <w:p w14:paraId="1A1E71B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-0.5058</w:t>
            </w:r>
          </w:p>
        </w:tc>
        <w:tc>
          <w:tcPr>
            <w:tcW w:w="0" w:type="auto"/>
            <w:tcBorders>
              <w:top w:val="nil"/>
              <w:left w:val="nil"/>
              <w:bottom w:val="nil"/>
              <w:right w:val="nil"/>
            </w:tcBorders>
            <w:shd w:val="clear" w:color="000000" w:fill="FFFFFF"/>
            <w:noWrap/>
            <w:vAlign w:val="center"/>
            <w:hideMark/>
          </w:tcPr>
          <w:p w14:paraId="1CFE01D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-6.657***</w:t>
            </w:r>
          </w:p>
        </w:tc>
        <w:tc>
          <w:tcPr>
            <w:tcW w:w="0" w:type="auto"/>
            <w:tcBorders>
              <w:top w:val="nil"/>
              <w:left w:val="nil"/>
              <w:bottom w:val="nil"/>
              <w:right w:val="nil"/>
            </w:tcBorders>
            <w:shd w:val="clear" w:color="000000" w:fill="FFFFFF"/>
            <w:noWrap/>
            <w:vAlign w:val="center"/>
            <w:hideMark/>
          </w:tcPr>
          <w:p w14:paraId="5798F54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-65.18***</w:t>
            </w:r>
          </w:p>
        </w:tc>
        <w:tc>
          <w:tcPr>
            <w:tcW w:w="0" w:type="auto"/>
            <w:tcBorders>
              <w:top w:val="nil"/>
              <w:left w:val="nil"/>
              <w:bottom w:val="nil"/>
              <w:right w:val="nil"/>
            </w:tcBorders>
            <w:shd w:val="clear" w:color="000000" w:fill="FFFFFF"/>
            <w:noWrap/>
            <w:vAlign w:val="center"/>
            <w:hideMark/>
          </w:tcPr>
          <w:p w14:paraId="2205DD9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-3.184**</w:t>
            </w:r>
          </w:p>
        </w:tc>
        <w:tc>
          <w:tcPr>
            <w:tcW w:w="0" w:type="auto"/>
            <w:tcBorders>
              <w:top w:val="nil"/>
              <w:left w:val="nil"/>
              <w:bottom w:val="nil"/>
              <w:right w:val="nil"/>
            </w:tcBorders>
            <w:shd w:val="clear" w:color="000000" w:fill="FFFFFF"/>
            <w:noWrap/>
            <w:vAlign w:val="center"/>
            <w:hideMark/>
          </w:tcPr>
          <w:p w14:paraId="5613947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4.57***</w:t>
            </w:r>
          </w:p>
        </w:tc>
        <w:tc>
          <w:tcPr>
            <w:tcW w:w="0" w:type="auto"/>
            <w:tcBorders>
              <w:top w:val="nil"/>
              <w:left w:val="nil"/>
              <w:bottom w:val="nil"/>
              <w:right w:val="nil"/>
            </w:tcBorders>
            <w:shd w:val="clear" w:color="000000" w:fill="FFFFFF"/>
            <w:noWrap/>
            <w:vAlign w:val="center"/>
            <w:hideMark/>
          </w:tcPr>
          <w:p w14:paraId="4832AD0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120</w:t>
            </w:r>
          </w:p>
        </w:tc>
      </w:tr>
      <w:tr w:rsidR="009C67F2" w:rsidRPr="00935EAC" w14:paraId="2CB55324"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35A4F2F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Bolivia</w:t>
            </w:r>
          </w:p>
        </w:tc>
        <w:tc>
          <w:tcPr>
            <w:tcW w:w="0" w:type="auto"/>
            <w:tcBorders>
              <w:top w:val="nil"/>
              <w:left w:val="nil"/>
              <w:bottom w:val="nil"/>
              <w:right w:val="nil"/>
            </w:tcBorders>
            <w:shd w:val="clear" w:color="000000" w:fill="FFFFFF"/>
            <w:noWrap/>
            <w:vAlign w:val="center"/>
            <w:hideMark/>
          </w:tcPr>
          <w:p w14:paraId="140A830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-2.147</w:t>
            </w:r>
          </w:p>
        </w:tc>
        <w:tc>
          <w:tcPr>
            <w:tcW w:w="0" w:type="auto"/>
            <w:tcBorders>
              <w:top w:val="nil"/>
              <w:left w:val="nil"/>
              <w:bottom w:val="nil"/>
              <w:right w:val="nil"/>
            </w:tcBorders>
            <w:shd w:val="clear" w:color="000000" w:fill="FFFFFF"/>
            <w:noWrap/>
            <w:vAlign w:val="center"/>
            <w:hideMark/>
          </w:tcPr>
          <w:p w14:paraId="7251FA2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-2.035**</w:t>
            </w:r>
          </w:p>
        </w:tc>
        <w:tc>
          <w:tcPr>
            <w:tcW w:w="0" w:type="auto"/>
            <w:tcBorders>
              <w:top w:val="nil"/>
              <w:left w:val="nil"/>
              <w:bottom w:val="nil"/>
              <w:right w:val="nil"/>
            </w:tcBorders>
            <w:shd w:val="clear" w:color="000000" w:fill="FFFFFF"/>
            <w:noWrap/>
            <w:vAlign w:val="center"/>
            <w:hideMark/>
          </w:tcPr>
          <w:p w14:paraId="4DF5F2F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-2.794*</w:t>
            </w:r>
          </w:p>
        </w:tc>
        <w:tc>
          <w:tcPr>
            <w:tcW w:w="0" w:type="auto"/>
            <w:tcBorders>
              <w:top w:val="nil"/>
              <w:left w:val="nil"/>
              <w:bottom w:val="nil"/>
              <w:right w:val="nil"/>
            </w:tcBorders>
            <w:shd w:val="clear" w:color="000000" w:fill="FFFFFF"/>
            <w:noWrap/>
            <w:vAlign w:val="center"/>
            <w:hideMark/>
          </w:tcPr>
          <w:p w14:paraId="6F760CD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-14.97**</w:t>
            </w:r>
          </w:p>
        </w:tc>
        <w:tc>
          <w:tcPr>
            <w:tcW w:w="0" w:type="auto"/>
            <w:tcBorders>
              <w:top w:val="nil"/>
              <w:left w:val="nil"/>
              <w:bottom w:val="nil"/>
              <w:right w:val="nil"/>
            </w:tcBorders>
            <w:shd w:val="clear" w:color="000000" w:fill="FFFFFF"/>
            <w:noWrap/>
            <w:vAlign w:val="center"/>
            <w:hideMark/>
          </w:tcPr>
          <w:p w14:paraId="1ED7BFF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-2.177</w:t>
            </w:r>
          </w:p>
        </w:tc>
        <w:tc>
          <w:tcPr>
            <w:tcW w:w="0" w:type="auto"/>
            <w:tcBorders>
              <w:top w:val="nil"/>
              <w:left w:val="nil"/>
              <w:bottom w:val="nil"/>
              <w:right w:val="nil"/>
            </w:tcBorders>
            <w:shd w:val="clear" w:color="000000" w:fill="FFFFFF"/>
            <w:noWrap/>
            <w:vAlign w:val="center"/>
            <w:hideMark/>
          </w:tcPr>
          <w:p w14:paraId="55ED411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5.227***</w:t>
            </w:r>
          </w:p>
        </w:tc>
        <w:tc>
          <w:tcPr>
            <w:tcW w:w="0" w:type="auto"/>
            <w:tcBorders>
              <w:top w:val="nil"/>
              <w:left w:val="nil"/>
              <w:bottom w:val="nil"/>
              <w:right w:val="nil"/>
            </w:tcBorders>
            <w:shd w:val="clear" w:color="000000" w:fill="FFFFFF"/>
            <w:noWrap/>
            <w:vAlign w:val="center"/>
            <w:hideMark/>
          </w:tcPr>
          <w:p w14:paraId="09E837E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140</w:t>
            </w:r>
          </w:p>
        </w:tc>
      </w:tr>
      <w:tr w:rsidR="009C67F2" w:rsidRPr="00935EAC" w14:paraId="42A3E6AC"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434344B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Bosnia Herzegovina</w:t>
            </w:r>
          </w:p>
        </w:tc>
        <w:tc>
          <w:tcPr>
            <w:tcW w:w="0" w:type="auto"/>
            <w:tcBorders>
              <w:top w:val="nil"/>
              <w:left w:val="nil"/>
              <w:bottom w:val="nil"/>
              <w:right w:val="nil"/>
            </w:tcBorders>
            <w:shd w:val="clear" w:color="000000" w:fill="FFFFFF"/>
            <w:noWrap/>
            <w:vAlign w:val="center"/>
            <w:hideMark/>
          </w:tcPr>
          <w:p w14:paraId="06B0535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-1.39</w:t>
            </w:r>
          </w:p>
        </w:tc>
        <w:tc>
          <w:tcPr>
            <w:tcW w:w="0" w:type="auto"/>
            <w:tcBorders>
              <w:top w:val="nil"/>
              <w:left w:val="nil"/>
              <w:bottom w:val="nil"/>
              <w:right w:val="nil"/>
            </w:tcBorders>
            <w:shd w:val="clear" w:color="000000" w:fill="FFFFFF"/>
            <w:noWrap/>
            <w:vAlign w:val="center"/>
            <w:hideMark/>
          </w:tcPr>
          <w:p w14:paraId="3579D3D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-1.565</w:t>
            </w:r>
          </w:p>
        </w:tc>
        <w:tc>
          <w:tcPr>
            <w:tcW w:w="0" w:type="auto"/>
            <w:tcBorders>
              <w:top w:val="nil"/>
              <w:left w:val="nil"/>
              <w:bottom w:val="nil"/>
              <w:right w:val="nil"/>
            </w:tcBorders>
            <w:shd w:val="clear" w:color="000000" w:fill="FFFFFF"/>
            <w:noWrap/>
            <w:vAlign w:val="center"/>
            <w:hideMark/>
          </w:tcPr>
          <w:p w14:paraId="1DC0075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-2.875*</w:t>
            </w:r>
          </w:p>
        </w:tc>
        <w:tc>
          <w:tcPr>
            <w:tcW w:w="0" w:type="auto"/>
            <w:tcBorders>
              <w:top w:val="nil"/>
              <w:left w:val="nil"/>
              <w:bottom w:val="nil"/>
              <w:right w:val="nil"/>
            </w:tcBorders>
            <w:shd w:val="clear" w:color="000000" w:fill="FFFFFF"/>
            <w:noWrap/>
            <w:vAlign w:val="center"/>
            <w:hideMark/>
          </w:tcPr>
          <w:p w14:paraId="6AE7601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-15.05**</w:t>
            </w:r>
          </w:p>
        </w:tc>
        <w:tc>
          <w:tcPr>
            <w:tcW w:w="0" w:type="auto"/>
            <w:tcBorders>
              <w:top w:val="nil"/>
              <w:left w:val="nil"/>
              <w:bottom w:val="nil"/>
              <w:right w:val="nil"/>
            </w:tcBorders>
            <w:shd w:val="clear" w:color="000000" w:fill="FFFFFF"/>
            <w:noWrap/>
            <w:vAlign w:val="center"/>
            <w:hideMark/>
          </w:tcPr>
          <w:p w14:paraId="495E1C0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-2.009</w:t>
            </w:r>
          </w:p>
        </w:tc>
        <w:tc>
          <w:tcPr>
            <w:tcW w:w="0" w:type="auto"/>
            <w:tcBorders>
              <w:top w:val="nil"/>
              <w:left w:val="nil"/>
              <w:bottom w:val="nil"/>
              <w:right w:val="nil"/>
            </w:tcBorders>
            <w:shd w:val="clear" w:color="000000" w:fill="FFFFFF"/>
            <w:noWrap/>
            <w:vAlign w:val="center"/>
            <w:hideMark/>
          </w:tcPr>
          <w:p w14:paraId="3A6567D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3.242***</w:t>
            </w:r>
          </w:p>
        </w:tc>
        <w:tc>
          <w:tcPr>
            <w:tcW w:w="0" w:type="auto"/>
            <w:tcBorders>
              <w:top w:val="nil"/>
              <w:left w:val="nil"/>
              <w:bottom w:val="nil"/>
              <w:right w:val="nil"/>
            </w:tcBorders>
            <w:shd w:val="clear" w:color="000000" w:fill="FFFFFF"/>
            <w:noWrap/>
            <w:vAlign w:val="center"/>
            <w:hideMark/>
          </w:tcPr>
          <w:p w14:paraId="5F4DB19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58</w:t>
            </w:r>
          </w:p>
        </w:tc>
      </w:tr>
      <w:tr w:rsidR="009C67F2" w:rsidRPr="00935EAC" w14:paraId="54BC6B27"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24D51A0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Brazil</w:t>
            </w:r>
          </w:p>
        </w:tc>
        <w:tc>
          <w:tcPr>
            <w:tcW w:w="0" w:type="auto"/>
            <w:tcBorders>
              <w:top w:val="nil"/>
              <w:left w:val="nil"/>
              <w:bottom w:val="nil"/>
              <w:right w:val="nil"/>
            </w:tcBorders>
            <w:shd w:val="clear" w:color="000000" w:fill="FFFFFF"/>
            <w:noWrap/>
            <w:vAlign w:val="center"/>
            <w:hideMark/>
          </w:tcPr>
          <w:p w14:paraId="1E53FAE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-2.964**</w:t>
            </w:r>
          </w:p>
        </w:tc>
        <w:tc>
          <w:tcPr>
            <w:tcW w:w="0" w:type="auto"/>
            <w:tcBorders>
              <w:top w:val="nil"/>
              <w:left w:val="nil"/>
              <w:bottom w:val="nil"/>
              <w:right w:val="nil"/>
            </w:tcBorders>
            <w:shd w:val="clear" w:color="000000" w:fill="FFFFFF"/>
            <w:noWrap/>
            <w:vAlign w:val="center"/>
            <w:hideMark/>
          </w:tcPr>
          <w:p w14:paraId="16CC1AA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-2.816***</w:t>
            </w:r>
          </w:p>
        </w:tc>
        <w:tc>
          <w:tcPr>
            <w:tcW w:w="0" w:type="auto"/>
            <w:tcBorders>
              <w:top w:val="nil"/>
              <w:left w:val="nil"/>
              <w:bottom w:val="nil"/>
              <w:right w:val="nil"/>
            </w:tcBorders>
            <w:shd w:val="clear" w:color="000000" w:fill="FFFFFF"/>
            <w:noWrap/>
            <w:vAlign w:val="center"/>
            <w:hideMark/>
          </w:tcPr>
          <w:p w14:paraId="2F28144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-3.182**</w:t>
            </w:r>
          </w:p>
        </w:tc>
        <w:tc>
          <w:tcPr>
            <w:tcW w:w="0" w:type="auto"/>
            <w:tcBorders>
              <w:top w:val="nil"/>
              <w:left w:val="nil"/>
              <w:bottom w:val="nil"/>
              <w:right w:val="nil"/>
            </w:tcBorders>
            <w:shd w:val="clear" w:color="000000" w:fill="FFFFFF"/>
            <w:noWrap/>
            <w:vAlign w:val="center"/>
            <w:hideMark/>
          </w:tcPr>
          <w:p w14:paraId="2F9E887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-19.71**</w:t>
            </w:r>
          </w:p>
        </w:tc>
        <w:tc>
          <w:tcPr>
            <w:tcW w:w="0" w:type="auto"/>
            <w:tcBorders>
              <w:top w:val="nil"/>
              <w:left w:val="nil"/>
              <w:bottom w:val="nil"/>
              <w:right w:val="nil"/>
            </w:tcBorders>
            <w:shd w:val="clear" w:color="000000" w:fill="FFFFFF"/>
            <w:noWrap/>
            <w:vAlign w:val="center"/>
            <w:hideMark/>
          </w:tcPr>
          <w:p w14:paraId="6FE5F83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-3.017**</w:t>
            </w:r>
          </w:p>
        </w:tc>
        <w:tc>
          <w:tcPr>
            <w:tcW w:w="0" w:type="auto"/>
            <w:tcBorders>
              <w:top w:val="nil"/>
              <w:left w:val="nil"/>
              <w:bottom w:val="nil"/>
              <w:right w:val="nil"/>
            </w:tcBorders>
            <w:shd w:val="clear" w:color="000000" w:fill="FFFFFF"/>
            <w:noWrap/>
            <w:vAlign w:val="center"/>
            <w:hideMark/>
          </w:tcPr>
          <w:p w14:paraId="646F947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0.8329***</w:t>
            </w:r>
          </w:p>
        </w:tc>
        <w:tc>
          <w:tcPr>
            <w:tcW w:w="0" w:type="auto"/>
            <w:tcBorders>
              <w:top w:val="nil"/>
              <w:left w:val="nil"/>
              <w:bottom w:val="nil"/>
              <w:right w:val="nil"/>
            </w:tcBorders>
            <w:shd w:val="clear" w:color="000000" w:fill="FFFFFF"/>
            <w:noWrap/>
            <w:vAlign w:val="center"/>
            <w:hideMark/>
          </w:tcPr>
          <w:p w14:paraId="27A0893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188</w:t>
            </w:r>
          </w:p>
        </w:tc>
      </w:tr>
      <w:tr w:rsidR="009C67F2" w:rsidRPr="00935EAC" w14:paraId="107E2A05"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5B679A2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Bulgaria</w:t>
            </w:r>
          </w:p>
        </w:tc>
        <w:tc>
          <w:tcPr>
            <w:tcW w:w="0" w:type="auto"/>
            <w:tcBorders>
              <w:top w:val="nil"/>
              <w:left w:val="nil"/>
              <w:bottom w:val="nil"/>
              <w:right w:val="nil"/>
            </w:tcBorders>
            <w:shd w:val="clear" w:color="000000" w:fill="FFFFFF"/>
            <w:noWrap/>
            <w:vAlign w:val="center"/>
            <w:hideMark/>
          </w:tcPr>
          <w:p w14:paraId="30917B9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-2.159</w:t>
            </w:r>
          </w:p>
        </w:tc>
        <w:tc>
          <w:tcPr>
            <w:tcW w:w="0" w:type="auto"/>
            <w:tcBorders>
              <w:top w:val="nil"/>
              <w:left w:val="nil"/>
              <w:bottom w:val="nil"/>
              <w:right w:val="nil"/>
            </w:tcBorders>
            <w:shd w:val="clear" w:color="000000" w:fill="FFFFFF"/>
            <w:noWrap/>
            <w:vAlign w:val="center"/>
            <w:hideMark/>
          </w:tcPr>
          <w:p w14:paraId="5840581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-1.014</w:t>
            </w:r>
          </w:p>
        </w:tc>
        <w:tc>
          <w:tcPr>
            <w:tcW w:w="0" w:type="auto"/>
            <w:tcBorders>
              <w:top w:val="nil"/>
              <w:left w:val="nil"/>
              <w:bottom w:val="nil"/>
              <w:right w:val="nil"/>
            </w:tcBorders>
            <w:shd w:val="clear" w:color="000000" w:fill="FFFFFF"/>
            <w:noWrap/>
            <w:vAlign w:val="center"/>
            <w:hideMark/>
          </w:tcPr>
          <w:p w14:paraId="3780D96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-3.999***</w:t>
            </w:r>
          </w:p>
        </w:tc>
        <w:tc>
          <w:tcPr>
            <w:tcW w:w="0" w:type="auto"/>
            <w:tcBorders>
              <w:top w:val="nil"/>
              <w:left w:val="nil"/>
              <w:bottom w:val="nil"/>
              <w:right w:val="nil"/>
            </w:tcBorders>
            <w:shd w:val="clear" w:color="000000" w:fill="FFFFFF"/>
            <w:noWrap/>
            <w:vAlign w:val="center"/>
            <w:hideMark/>
          </w:tcPr>
          <w:p w14:paraId="6520225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-24.77***</w:t>
            </w:r>
          </w:p>
        </w:tc>
        <w:tc>
          <w:tcPr>
            <w:tcW w:w="0" w:type="auto"/>
            <w:tcBorders>
              <w:top w:val="nil"/>
              <w:left w:val="nil"/>
              <w:bottom w:val="nil"/>
              <w:right w:val="nil"/>
            </w:tcBorders>
            <w:shd w:val="clear" w:color="000000" w:fill="FFFFFF"/>
            <w:noWrap/>
            <w:vAlign w:val="center"/>
            <w:hideMark/>
          </w:tcPr>
          <w:p w14:paraId="1CD28E7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-2.208</w:t>
            </w:r>
          </w:p>
        </w:tc>
        <w:tc>
          <w:tcPr>
            <w:tcW w:w="0" w:type="auto"/>
            <w:tcBorders>
              <w:top w:val="nil"/>
              <w:left w:val="nil"/>
              <w:bottom w:val="nil"/>
              <w:right w:val="nil"/>
            </w:tcBorders>
            <w:shd w:val="clear" w:color="000000" w:fill="FFFFFF"/>
            <w:noWrap/>
            <w:vAlign w:val="center"/>
            <w:hideMark/>
          </w:tcPr>
          <w:p w14:paraId="54AF644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1.75***</w:t>
            </w:r>
          </w:p>
        </w:tc>
        <w:tc>
          <w:tcPr>
            <w:tcW w:w="0" w:type="auto"/>
            <w:tcBorders>
              <w:top w:val="nil"/>
              <w:left w:val="nil"/>
              <w:bottom w:val="nil"/>
              <w:right w:val="nil"/>
            </w:tcBorders>
            <w:shd w:val="clear" w:color="000000" w:fill="FFFFFF"/>
            <w:noWrap/>
            <w:vAlign w:val="center"/>
            <w:hideMark/>
          </w:tcPr>
          <w:p w14:paraId="67A7193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124</w:t>
            </w:r>
          </w:p>
        </w:tc>
      </w:tr>
      <w:tr w:rsidR="009C67F2" w:rsidRPr="00935EAC" w14:paraId="2A0F7F0A"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531EC4A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Cambodia</w:t>
            </w:r>
          </w:p>
        </w:tc>
        <w:tc>
          <w:tcPr>
            <w:tcW w:w="0" w:type="auto"/>
            <w:tcBorders>
              <w:top w:val="nil"/>
              <w:left w:val="nil"/>
              <w:bottom w:val="nil"/>
              <w:right w:val="nil"/>
            </w:tcBorders>
            <w:shd w:val="clear" w:color="000000" w:fill="FFFFFF"/>
            <w:noWrap/>
            <w:vAlign w:val="center"/>
            <w:hideMark/>
          </w:tcPr>
          <w:p w14:paraId="5E6B156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2.468</w:t>
            </w:r>
          </w:p>
        </w:tc>
        <w:tc>
          <w:tcPr>
            <w:tcW w:w="0" w:type="auto"/>
            <w:tcBorders>
              <w:top w:val="nil"/>
              <w:left w:val="nil"/>
              <w:bottom w:val="nil"/>
              <w:right w:val="nil"/>
            </w:tcBorders>
            <w:shd w:val="clear" w:color="000000" w:fill="FFFFFF"/>
            <w:noWrap/>
            <w:vAlign w:val="center"/>
            <w:hideMark/>
          </w:tcPr>
          <w:p w14:paraId="4D210F5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2.725</w:t>
            </w:r>
          </w:p>
        </w:tc>
        <w:tc>
          <w:tcPr>
            <w:tcW w:w="0" w:type="auto"/>
            <w:tcBorders>
              <w:top w:val="nil"/>
              <w:left w:val="nil"/>
              <w:bottom w:val="nil"/>
              <w:right w:val="nil"/>
            </w:tcBorders>
            <w:shd w:val="clear" w:color="000000" w:fill="FFFFFF"/>
            <w:noWrap/>
            <w:vAlign w:val="center"/>
            <w:hideMark/>
          </w:tcPr>
          <w:p w14:paraId="085697A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-1.636</w:t>
            </w:r>
          </w:p>
        </w:tc>
        <w:tc>
          <w:tcPr>
            <w:tcW w:w="0" w:type="auto"/>
            <w:tcBorders>
              <w:top w:val="nil"/>
              <w:left w:val="nil"/>
              <w:bottom w:val="nil"/>
              <w:right w:val="nil"/>
            </w:tcBorders>
            <w:shd w:val="clear" w:color="000000" w:fill="FFFFFF"/>
            <w:noWrap/>
            <w:vAlign w:val="center"/>
            <w:hideMark/>
          </w:tcPr>
          <w:p w14:paraId="7D03F49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-14.39**</w:t>
            </w:r>
          </w:p>
        </w:tc>
        <w:tc>
          <w:tcPr>
            <w:tcW w:w="0" w:type="auto"/>
            <w:tcBorders>
              <w:top w:val="nil"/>
              <w:left w:val="nil"/>
              <w:bottom w:val="nil"/>
              <w:right w:val="nil"/>
            </w:tcBorders>
            <w:shd w:val="clear" w:color="000000" w:fill="FFFFFF"/>
            <w:noWrap/>
            <w:vAlign w:val="center"/>
            <w:hideMark/>
          </w:tcPr>
          <w:p w14:paraId="1BCA734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-1.948</w:t>
            </w:r>
          </w:p>
        </w:tc>
        <w:tc>
          <w:tcPr>
            <w:tcW w:w="0" w:type="auto"/>
            <w:tcBorders>
              <w:top w:val="nil"/>
              <w:left w:val="nil"/>
              <w:bottom w:val="nil"/>
              <w:right w:val="nil"/>
            </w:tcBorders>
            <w:shd w:val="clear" w:color="000000" w:fill="FFFFFF"/>
            <w:noWrap/>
            <w:vAlign w:val="center"/>
            <w:hideMark/>
          </w:tcPr>
          <w:p w14:paraId="40B48C4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2.816***</w:t>
            </w:r>
          </w:p>
        </w:tc>
        <w:tc>
          <w:tcPr>
            <w:tcW w:w="0" w:type="auto"/>
            <w:tcBorders>
              <w:top w:val="nil"/>
              <w:left w:val="nil"/>
              <w:bottom w:val="nil"/>
              <w:right w:val="nil"/>
            </w:tcBorders>
            <w:shd w:val="clear" w:color="000000" w:fill="FFFFFF"/>
            <w:noWrap/>
            <w:vAlign w:val="center"/>
            <w:hideMark/>
          </w:tcPr>
          <w:p w14:paraId="69778AA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112</w:t>
            </w:r>
          </w:p>
        </w:tc>
      </w:tr>
      <w:tr w:rsidR="009C67F2" w:rsidRPr="00935EAC" w14:paraId="63A2F386"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2F896FF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Canada</w:t>
            </w:r>
          </w:p>
        </w:tc>
        <w:tc>
          <w:tcPr>
            <w:tcW w:w="0" w:type="auto"/>
            <w:tcBorders>
              <w:top w:val="nil"/>
              <w:left w:val="nil"/>
              <w:bottom w:val="nil"/>
              <w:right w:val="nil"/>
            </w:tcBorders>
            <w:shd w:val="clear" w:color="000000" w:fill="FFFFFF"/>
            <w:noWrap/>
            <w:vAlign w:val="center"/>
            <w:hideMark/>
          </w:tcPr>
          <w:p w14:paraId="4698F53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-2.754*</w:t>
            </w:r>
          </w:p>
        </w:tc>
        <w:tc>
          <w:tcPr>
            <w:tcW w:w="0" w:type="auto"/>
            <w:tcBorders>
              <w:top w:val="nil"/>
              <w:left w:val="nil"/>
              <w:bottom w:val="nil"/>
              <w:right w:val="nil"/>
            </w:tcBorders>
            <w:shd w:val="clear" w:color="000000" w:fill="FFFFFF"/>
            <w:noWrap/>
            <w:vAlign w:val="center"/>
            <w:hideMark/>
          </w:tcPr>
          <w:p w14:paraId="7504892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-2.342**</w:t>
            </w:r>
          </w:p>
        </w:tc>
        <w:tc>
          <w:tcPr>
            <w:tcW w:w="0" w:type="auto"/>
            <w:tcBorders>
              <w:top w:val="nil"/>
              <w:left w:val="nil"/>
              <w:bottom w:val="nil"/>
              <w:right w:val="nil"/>
            </w:tcBorders>
            <w:shd w:val="clear" w:color="000000" w:fill="FFFFFF"/>
            <w:noWrap/>
            <w:vAlign w:val="center"/>
            <w:hideMark/>
          </w:tcPr>
          <w:p w14:paraId="4A0DE01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-3.443***</w:t>
            </w:r>
          </w:p>
        </w:tc>
        <w:tc>
          <w:tcPr>
            <w:tcW w:w="0" w:type="auto"/>
            <w:tcBorders>
              <w:top w:val="nil"/>
              <w:left w:val="nil"/>
              <w:bottom w:val="nil"/>
              <w:right w:val="nil"/>
            </w:tcBorders>
            <w:shd w:val="clear" w:color="000000" w:fill="FFFFFF"/>
            <w:noWrap/>
            <w:vAlign w:val="center"/>
            <w:hideMark/>
          </w:tcPr>
          <w:p w14:paraId="115B1DF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-22.8***</w:t>
            </w:r>
          </w:p>
        </w:tc>
        <w:tc>
          <w:tcPr>
            <w:tcW w:w="0" w:type="auto"/>
            <w:tcBorders>
              <w:top w:val="nil"/>
              <w:left w:val="nil"/>
              <w:bottom w:val="nil"/>
              <w:right w:val="nil"/>
            </w:tcBorders>
            <w:shd w:val="clear" w:color="000000" w:fill="FFFFFF"/>
            <w:noWrap/>
            <w:vAlign w:val="center"/>
            <w:hideMark/>
          </w:tcPr>
          <w:p w14:paraId="6F98478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-2.813*</w:t>
            </w:r>
          </w:p>
        </w:tc>
        <w:tc>
          <w:tcPr>
            <w:tcW w:w="0" w:type="auto"/>
            <w:tcBorders>
              <w:top w:val="nil"/>
              <w:left w:val="nil"/>
              <w:bottom w:val="nil"/>
              <w:right w:val="nil"/>
            </w:tcBorders>
            <w:shd w:val="clear" w:color="000000" w:fill="FFFFFF"/>
            <w:noWrap/>
            <w:vAlign w:val="center"/>
            <w:hideMark/>
          </w:tcPr>
          <w:p w14:paraId="3FFC902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2.617***</w:t>
            </w:r>
          </w:p>
        </w:tc>
        <w:tc>
          <w:tcPr>
            <w:tcW w:w="0" w:type="auto"/>
            <w:tcBorders>
              <w:top w:val="nil"/>
              <w:left w:val="nil"/>
              <w:bottom w:val="nil"/>
              <w:right w:val="nil"/>
            </w:tcBorders>
            <w:shd w:val="clear" w:color="000000" w:fill="FFFFFF"/>
            <w:noWrap/>
            <w:vAlign w:val="center"/>
            <w:hideMark/>
          </w:tcPr>
          <w:p w14:paraId="57333C7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256</w:t>
            </w:r>
          </w:p>
        </w:tc>
      </w:tr>
      <w:tr w:rsidR="009C67F2" w:rsidRPr="00935EAC" w14:paraId="285BE330"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7D653D2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Chile</w:t>
            </w:r>
          </w:p>
        </w:tc>
        <w:tc>
          <w:tcPr>
            <w:tcW w:w="0" w:type="auto"/>
            <w:tcBorders>
              <w:top w:val="nil"/>
              <w:left w:val="nil"/>
              <w:bottom w:val="nil"/>
              <w:right w:val="nil"/>
            </w:tcBorders>
            <w:shd w:val="clear" w:color="000000" w:fill="FFFFFF"/>
            <w:noWrap/>
            <w:vAlign w:val="center"/>
            <w:hideMark/>
          </w:tcPr>
          <w:p w14:paraId="2FE833C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-1.988</w:t>
            </w:r>
          </w:p>
        </w:tc>
        <w:tc>
          <w:tcPr>
            <w:tcW w:w="0" w:type="auto"/>
            <w:tcBorders>
              <w:top w:val="nil"/>
              <w:left w:val="nil"/>
              <w:bottom w:val="nil"/>
              <w:right w:val="nil"/>
            </w:tcBorders>
            <w:shd w:val="clear" w:color="000000" w:fill="FFFFFF"/>
            <w:noWrap/>
            <w:vAlign w:val="center"/>
            <w:hideMark/>
          </w:tcPr>
          <w:p w14:paraId="7A17F42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-1.949*</w:t>
            </w:r>
          </w:p>
        </w:tc>
        <w:tc>
          <w:tcPr>
            <w:tcW w:w="0" w:type="auto"/>
            <w:tcBorders>
              <w:top w:val="nil"/>
              <w:left w:val="nil"/>
              <w:bottom w:val="nil"/>
              <w:right w:val="nil"/>
            </w:tcBorders>
            <w:shd w:val="clear" w:color="000000" w:fill="FFFFFF"/>
            <w:noWrap/>
            <w:vAlign w:val="center"/>
            <w:hideMark/>
          </w:tcPr>
          <w:p w14:paraId="03FE23E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-4.075***</w:t>
            </w:r>
          </w:p>
        </w:tc>
        <w:tc>
          <w:tcPr>
            <w:tcW w:w="0" w:type="auto"/>
            <w:tcBorders>
              <w:top w:val="nil"/>
              <w:left w:val="nil"/>
              <w:bottom w:val="nil"/>
              <w:right w:val="nil"/>
            </w:tcBorders>
            <w:shd w:val="clear" w:color="000000" w:fill="FFFFFF"/>
            <w:noWrap/>
            <w:vAlign w:val="center"/>
            <w:hideMark/>
          </w:tcPr>
          <w:p w14:paraId="47B3531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-29.94***</w:t>
            </w:r>
          </w:p>
        </w:tc>
        <w:tc>
          <w:tcPr>
            <w:tcW w:w="0" w:type="auto"/>
            <w:tcBorders>
              <w:top w:val="nil"/>
              <w:left w:val="nil"/>
              <w:bottom w:val="nil"/>
              <w:right w:val="nil"/>
            </w:tcBorders>
            <w:shd w:val="clear" w:color="000000" w:fill="FFFFFF"/>
            <w:noWrap/>
            <w:vAlign w:val="center"/>
            <w:hideMark/>
          </w:tcPr>
          <w:p w14:paraId="4586955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-2.03</w:t>
            </w:r>
          </w:p>
        </w:tc>
        <w:tc>
          <w:tcPr>
            <w:tcW w:w="0" w:type="auto"/>
            <w:tcBorders>
              <w:top w:val="nil"/>
              <w:left w:val="nil"/>
              <w:bottom w:val="nil"/>
              <w:right w:val="nil"/>
            </w:tcBorders>
            <w:shd w:val="clear" w:color="000000" w:fill="FFFFFF"/>
            <w:noWrap/>
            <w:vAlign w:val="center"/>
            <w:hideMark/>
          </w:tcPr>
          <w:p w14:paraId="571BB5C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1.359***</w:t>
            </w:r>
          </w:p>
        </w:tc>
        <w:tc>
          <w:tcPr>
            <w:tcW w:w="0" w:type="auto"/>
            <w:tcBorders>
              <w:top w:val="nil"/>
              <w:left w:val="nil"/>
              <w:bottom w:val="nil"/>
              <w:right w:val="nil"/>
            </w:tcBorders>
            <w:shd w:val="clear" w:color="000000" w:fill="FFFFFF"/>
            <w:noWrap/>
            <w:vAlign w:val="center"/>
            <w:hideMark/>
          </w:tcPr>
          <w:p w14:paraId="5D1922E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136</w:t>
            </w:r>
          </w:p>
        </w:tc>
      </w:tr>
      <w:tr w:rsidR="009C67F2" w:rsidRPr="00935EAC" w14:paraId="0912C6B3"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68276CE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China</w:t>
            </w:r>
          </w:p>
        </w:tc>
        <w:tc>
          <w:tcPr>
            <w:tcW w:w="0" w:type="auto"/>
            <w:tcBorders>
              <w:top w:val="nil"/>
              <w:left w:val="nil"/>
              <w:bottom w:val="nil"/>
              <w:right w:val="nil"/>
            </w:tcBorders>
            <w:shd w:val="clear" w:color="000000" w:fill="FFFFFF"/>
            <w:noWrap/>
            <w:vAlign w:val="center"/>
            <w:hideMark/>
          </w:tcPr>
          <w:p w14:paraId="4B8A745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-2.022</w:t>
            </w:r>
          </w:p>
        </w:tc>
        <w:tc>
          <w:tcPr>
            <w:tcW w:w="0" w:type="auto"/>
            <w:tcBorders>
              <w:top w:val="nil"/>
              <w:left w:val="nil"/>
              <w:bottom w:val="nil"/>
              <w:right w:val="nil"/>
            </w:tcBorders>
            <w:shd w:val="clear" w:color="000000" w:fill="FFFFFF"/>
            <w:noWrap/>
            <w:vAlign w:val="center"/>
            <w:hideMark/>
          </w:tcPr>
          <w:p w14:paraId="199D5EC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-1.907*</w:t>
            </w:r>
          </w:p>
        </w:tc>
        <w:tc>
          <w:tcPr>
            <w:tcW w:w="0" w:type="auto"/>
            <w:tcBorders>
              <w:top w:val="nil"/>
              <w:left w:val="nil"/>
              <w:bottom w:val="nil"/>
              <w:right w:val="nil"/>
            </w:tcBorders>
            <w:shd w:val="clear" w:color="000000" w:fill="FFFFFF"/>
            <w:noWrap/>
            <w:vAlign w:val="center"/>
            <w:hideMark/>
          </w:tcPr>
          <w:p w14:paraId="4549F53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-3.15**</w:t>
            </w:r>
          </w:p>
        </w:tc>
        <w:tc>
          <w:tcPr>
            <w:tcW w:w="0" w:type="auto"/>
            <w:tcBorders>
              <w:top w:val="nil"/>
              <w:left w:val="nil"/>
              <w:bottom w:val="nil"/>
              <w:right w:val="nil"/>
            </w:tcBorders>
            <w:shd w:val="clear" w:color="000000" w:fill="FFFFFF"/>
            <w:noWrap/>
            <w:vAlign w:val="center"/>
            <w:hideMark/>
          </w:tcPr>
          <w:p w14:paraId="4150778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-18.6**</w:t>
            </w:r>
          </w:p>
        </w:tc>
        <w:tc>
          <w:tcPr>
            <w:tcW w:w="0" w:type="auto"/>
            <w:tcBorders>
              <w:top w:val="nil"/>
              <w:left w:val="nil"/>
              <w:bottom w:val="nil"/>
              <w:right w:val="nil"/>
            </w:tcBorders>
            <w:shd w:val="clear" w:color="000000" w:fill="FFFFFF"/>
            <w:noWrap/>
            <w:vAlign w:val="center"/>
            <w:hideMark/>
          </w:tcPr>
          <w:p w14:paraId="4705386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-2.036</w:t>
            </w:r>
          </w:p>
        </w:tc>
        <w:tc>
          <w:tcPr>
            <w:tcW w:w="0" w:type="auto"/>
            <w:tcBorders>
              <w:top w:val="nil"/>
              <w:left w:val="nil"/>
              <w:bottom w:val="nil"/>
              <w:right w:val="nil"/>
            </w:tcBorders>
            <w:shd w:val="clear" w:color="000000" w:fill="FFFFFF"/>
            <w:noWrap/>
            <w:vAlign w:val="center"/>
            <w:hideMark/>
          </w:tcPr>
          <w:p w14:paraId="2E51852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1.373***</w:t>
            </w:r>
          </w:p>
        </w:tc>
        <w:tc>
          <w:tcPr>
            <w:tcW w:w="0" w:type="auto"/>
            <w:tcBorders>
              <w:top w:val="nil"/>
              <w:left w:val="nil"/>
              <w:bottom w:val="nil"/>
              <w:right w:val="nil"/>
            </w:tcBorders>
            <w:shd w:val="clear" w:color="000000" w:fill="FFFFFF"/>
            <w:noWrap/>
            <w:vAlign w:val="center"/>
            <w:hideMark/>
          </w:tcPr>
          <w:p w14:paraId="086E432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136</w:t>
            </w:r>
          </w:p>
        </w:tc>
      </w:tr>
      <w:tr w:rsidR="009C67F2" w:rsidRPr="00935EAC" w14:paraId="43C290F9"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305D75D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Colombia</w:t>
            </w:r>
          </w:p>
        </w:tc>
        <w:tc>
          <w:tcPr>
            <w:tcW w:w="0" w:type="auto"/>
            <w:tcBorders>
              <w:top w:val="nil"/>
              <w:left w:val="nil"/>
              <w:bottom w:val="nil"/>
              <w:right w:val="nil"/>
            </w:tcBorders>
            <w:shd w:val="clear" w:color="000000" w:fill="FFFFFF"/>
            <w:noWrap/>
            <w:vAlign w:val="center"/>
            <w:hideMark/>
          </w:tcPr>
          <w:p w14:paraId="0C7F083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-2.875*</w:t>
            </w:r>
          </w:p>
        </w:tc>
        <w:tc>
          <w:tcPr>
            <w:tcW w:w="0" w:type="auto"/>
            <w:tcBorders>
              <w:top w:val="nil"/>
              <w:left w:val="nil"/>
              <w:bottom w:val="nil"/>
              <w:right w:val="nil"/>
            </w:tcBorders>
            <w:shd w:val="clear" w:color="000000" w:fill="FFFFFF"/>
            <w:noWrap/>
            <w:vAlign w:val="center"/>
            <w:hideMark/>
          </w:tcPr>
          <w:p w14:paraId="006AB53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-2.416**</w:t>
            </w:r>
          </w:p>
        </w:tc>
        <w:tc>
          <w:tcPr>
            <w:tcW w:w="0" w:type="auto"/>
            <w:tcBorders>
              <w:top w:val="nil"/>
              <w:left w:val="nil"/>
              <w:bottom w:val="nil"/>
              <w:right w:val="nil"/>
            </w:tcBorders>
            <w:shd w:val="clear" w:color="000000" w:fill="FFFFFF"/>
            <w:noWrap/>
            <w:vAlign w:val="center"/>
            <w:hideMark/>
          </w:tcPr>
          <w:p w14:paraId="18B5EDC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-2.875*</w:t>
            </w:r>
          </w:p>
        </w:tc>
        <w:tc>
          <w:tcPr>
            <w:tcW w:w="0" w:type="auto"/>
            <w:tcBorders>
              <w:top w:val="nil"/>
              <w:left w:val="nil"/>
              <w:bottom w:val="nil"/>
              <w:right w:val="nil"/>
            </w:tcBorders>
            <w:shd w:val="clear" w:color="000000" w:fill="FFFFFF"/>
            <w:noWrap/>
            <w:vAlign w:val="center"/>
            <w:hideMark/>
          </w:tcPr>
          <w:p w14:paraId="166F77A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-15.43**</w:t>
            </w:r>
          </w:p>
        </w:tc>
        <w:tc>
          <w:tcPr>
            <w:tcW w:w="0" w:type="auto"/>
            <w:tcBorders>
              <w:top w:val="nil"/>
              <w:left w:val="nil"/>
              <w:bottom w:val="nil"/>
              <w:right w:val="nil"/>
            </w:tcBorders>
            <w:shd w:val="clear" w:color="000000" w:fill="FFFFFF"/>
            <w:noWrap/>
            <w:vAlign w:val="center"/>
            <w:hideMark/>
          </w:tcPr>
          <w:p w14:paraId="4D4E4C3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-2.353</w:t>
            </w:r>
          </w:p>
        </w:tc>
        <w:tc>
          <w:tcPr>
            <w:tcW w:w="0" w:type="auto"/>
            <w:tcBorders>
              <w:top w:val="nil"/>
              <w:left w:val="nil"/>
              <w:bottom w:val="nil"/>
              <w:right w:val="nil"/>
            </w:tcBorders>
            <w:shd w:val="clear" w:color="000000" w:fill="FFFFFF"/>
            <w:noWrap/>
            <w:vAlign w:val="center"/>
            <w:hideMark/>
          </w:tcPr>
          <w:p w14:paraId="4FCFF7C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2.473***</w:t>
            </w:r>
          </w:p>
        </w:tc>
        <w:tc>
          <w:tcPr>
            <w:tcW w:w="0" w:type="auto"/>
            <w:tcBorders>
              <w:top w:val="nil"/>
              <w:left w:val="nil"/>
              <w:bottom w:val="nil"/>
              <w:right w:val="nil"/>
            </w:tcBorders>
            <w:shd w:val="clear" w:color="000000" w:fill="FFFFFF"/>
            <w:noWrap/>
            <w:vAlign w:val="center"/>
            <w:hideMark/>
          </w:tcPr>
          <w:p w14:paraId="786131D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116</w:t>
            </w:r>
          </w:p>
        </w:tc>
      </w:tr>
      <w:tr w:rsidR="009C67F2" w:rsidRPr="00935EAC" w14:paraId="4AC84360"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1A40886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Costa_Rica</w:t>
            </w:r>
          </w:p>
        </w:tc>
        <w:tc>
          <w:tcPr>
            <w:tcW w:w="0" w:type="auto"/>
            <w:tcBorders>
              <w:top w:val="nil"/>
              <w:left w:val="nil"/>
              <w:bottom w:val="nil"/>
              <w:right w:val="nil"/>
            </w:tcBorders>
            <w:shd w:val="clear" w:color="000000" w:fill="FFFFFF"/>
            <w:noWrap/>
            <w:vAlign w:val="center"/>
            <w:hideMark/>
          </w:tcPr>
          <w:p w14:paraId="38BCEEF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-5.018***</w:t>
            </w:r>
          </w:p>
        </w:tc>
        <w:tc>
          <w:tcPr>
            <w:tcW w:w="0" w:type="auto"/>
            <w:tcBorders>
              <w:top w:val="nil"/>
              <w:left w:val="nil"/>
              <w:bottom w:val="nil"/>
              <w:right w:val="nil"/>
            </w:tcBorders>
            <w:shd w:val="clear" w:color="000000" w:fill="FFFFFF"/>
            <w:noWrap/>
            <w:vAlign w:val="center"/>
            <w:hideMark/>
          </w:tcPr>
          <w:p w14:paraId="432871F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-4.894***</w:t>
            </w:r>
          </w:p>
        </w:tc>
        <w:tc>
          <w:tcPr>
            <w:tcW w:w="0" w:type="auto"/>
            <w:tcBorders>
              <w:top w:val="nil"/>
              <w:left w:val="nil"/>
              <w:bottom w:val="nil"/>
              <w:right w:val="nil"/>
            </w:tcBorders>
            <w:shd w:val="clear" w:color="000000" w:fill="FFFFFF"/>
            <w:noWrap/>
            <w:vAlign w:val="center"/>
            <w:hideMark/>
          </w:tcPr>
          <w:p w14:paraId="01A9E53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-5.018***</w:t>
            </w:r>
          </w:p>
        </w:tc>
        <w:tc>
          <w:tcPr>
            <w:tcW w:w="0" w:type="auto"/>
            <w:tcBorders>
              <w:top w:val="nil"/>
              <w:left w:val="nil"/>
              <w:bottom w:val="nil"/>
              <w:right w:val="nil"/>
            </w:tcBorders>
            <w:shd w:val="clear" w:color="000000" w:fill="FFFFFF"/>
            <w:noWrap/>
            <w:vAlign w:val="center"/>
            <w:hideMark/>
          </w:tcPr>
          <w:p w14:paraId="6DCAE41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-41.38***</w:t>
            </w:r>
          </w:p>
        </w:tc>
        <w:tc>
          <w:tcPr>
            <w:tcW w:w="0" w:type="auto"/>
            <w:tcBorders>
              <w:top w:val="nil"/>
              <w:left w:val="nil"/>
              <w:bottom w:val="nil"/>
              <w:right w:val="nil"/>
            </w:tcBorders>
            <w:shd w:val="clear" w:color="000000" w:fill="FFFFFF"/>
            <w:noWrap/>
            <w:vAlign w:val="center"/>
            <w:hideMark/>
          </w:tcPr>
          <w:p w14:paraId="1B9E1FC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-5.894***</w:t>
            </w:r>
          </w:p>
        </w:tc>
        <w:tc>
          <w:tcPr>
            <w:tcW w:w="0" w:type="auto"/>
            <w:tcBorders>
              <w:top w:val="nil"/>
              <w:left w:val="nil"/>
              <w:bottom w:val="nil"/>
              <w:right w:val="nil"/>
            </w:tcBorders>
            <w:shd w:val="clear" w:color="000000" w:fill="FFFFFF"/>
            <w:noWrap/>
            <w:vAlign w:val="center"/>
            <w:hideMark/>
          </w:tcPr>
          <w:p w14:paraId="1C35E23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2.636***</w:t>
            </w:r>
          </w:p>
        </w:tc>
        <w:tc>
          <w:tcPr>
            <w:tcW w:w="0" w:type="auto"/>
            <w:tcBorders>
              <w:top w:val="nil"/>
              <w:left w:val="nil"/>
              <w:bottom w:val="nil"/>
              <w:right w:val="nil"/>
            </w:tcBorders>
            <w:shd w:val="clear" w:color="000000" w:fill="FFFFFF"/>
            <w:noWrap/>
            <w:vAlign w:val="center"/>
            <w:hideMark/>
          </w:tcPr>
          <w:p w14:paraId="5A35534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104</w:t>
            </w:r>
          </w:p>
        </w:tc>
      </w:tr>
      <w:tr w:rsidR="009C67F2" w:rsidRPr="00935EAC" w14:paraId="1CEEE6DA"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7FCD946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Croatia</w:t>
            </w:r>
          </w:p>
        </w:tc>
        <w:tc>
          <w:tcPr>
            <w:tcW w:w="0" w:type="auto"/>
            <w:tcBorders>
              <w:top w:val="nil"/>
              <w:left w:val="nil"/>
              <w:bottom w:val="nil"/>
              <w:right w:val="nil"/>
            </w:tcBorders>
            <w:shd w:val="clear" w:color="000000" w:fill="FFFFFF"/>
            <w:noWrap/>
            <w:vAlign w:val="center"/>
            <w:hideMark/>
          </w:tcPr>
          <w:p w14:paraId="0CC283F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-1.731</w:t>
            </w:r>
          </w:p>
        </w:tc>
        <w:tc>
          <w:tcPr>
            <w:tcW w:w="0" w:type="auto"/>
            <w:tcBorders>
              <w:top w:val="nil"/>
              <w:left w:val="nil"/>
              <w:bottom w:val="nil"/>
              <w:right w:val="nil"/>
            </w:tcBorders>
            <w:shd w:val="clear" w:color="000000" w:fill="FFFFFF"/>
            <w:noWrap/>
            <w:vAlign w:val="center"/>
            <w:hideMark/>
          </w:tcPr>
          <w:p w14:paraId="1D4E5BA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-1.546</w:t>
            </w:r>
          </w:p>
        </w:tc>
        <w:tc>
          <w:tcPr>
            <w:tcW w:w="0" w:type="auto"/>
            <w:tcBorders>
              <w:top w:val="nil"/>
              <w:left w:val="nil"/>
              <w:bottom w:val="nil"/>
              <w:right w:val="nil"/>
            </w:tcBorders>
            <w:shd w:val="clear" w:color="000000" w:fill="FFFFFF"/>
            <w:noWrap/>
            <w:vAlign w:val="center"/>
            <w:hideMark/>
          </w:tcPr>
          <w:p w14:paraId="621EC7D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-4.604***</w:t>
            </w:r>
          </w:p>
        </w:tc>
        <w:tc>
          <w:tcPr>
            <w:tcW w:w="0" w:type="auto"/>
            <w:tcBorders>
              <w:top w:val="nil"/>
              <w:left w:val="nil"/>
              <w:bottom w:val="nil"/>
              <w:right w:val="nil"/>
            </w:tcBorders>
            <w:shd w:val="clear" w:color="000000" w:fill="FFFFFF"/>
            <w:noWrap/>
            <w:vAlign w:val="center"/>
            <w:hideMark/>
          </w:tcPr>
          <w:p w14:paraId="51E6845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-36.42***</w:t>
            </w:r>
          </w:p>
        </w:tc>
        <w:tc>
          <w:tcPr>
            <w:tcW w:w="0" w:type="auto"/>
            <w:tcBorders>
              <w:top w:val="nil"/>
              <w:left w:val="nil"/>
              <w:bottom w:val="nil"/>
              <w:right w:val="nil"/>
            </w:tcBorders>
            <w:shd w:val="clear" w:color="000000" w:fill="FFFFFF"/>
            <w:noWrap/>
            <w:vAlign w:val="center"/>
            <w:hideMark/>
          </w:tcPr>
          <w:p w14:paraId="136EC3C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-1.942</w:t>
            </w:r>
          </w:p>
        </w:tc>
        <w:tc>
          <w:tcPr>
            <w:tcW w:w="0" w:type="auto"/>
            <w:tcBorders>
              <w:top w:val="nil"/>
              <w:left w:val="nil"/>
              <w:bottom w:val="nil"/>
              <w:right w:val="nil"/>
            </w:tcBorders>
            <w:shd w:val="clear" w:color="000000" w:fill="FFFFFF"/>
            <w:noWrap/>
            <w:vAlign w:val="center"/>
            <w:hideMark/>
          </w:tcPr>
          <w:p w14:paraId="1B59BDE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5.021***</w:t>
            </w:r>
          </w:p>
        </w:tc>
        <w:tc>
          <w:tcPr>
            <w:tcW w:w="0" w:type="auto"/>
            <w:tcBorders>
              <w:top w:val="nil"/>
              <w:left w:val="nil"/>
              <w:bottom w:val="nil"/>
              <w:right w:val="nil"/>
            </w:tcBorders>
            <w:shd w:val="clear" w:color="000000" w:fill="FFFFFF"/>
            <w:noWrap/>
            <w:vAlign w:val="center"/>
            <w:hideMark/>
          </w:tcPr>
          <w:p w14:paraId="5CD61BA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120</w:t>
            </w:r>
          </w:p>
        </w:tc>
      </w:tr>
      <w:tr w:rsidR="009C67F2" w:rsidRPr="00935EAC" w14:paraId="202AF5BF"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141AFA3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Cyprus</w:t>
            </w:r>
          </w:p>
        </w:tc>
        <w:tc>
          <w:tcPr>
            <w:tcW w:w="0" w:type="auto"/>
            <w:tcBorders>
              <w:top w:val="nil"/>
              <w:left w:val="nil"/>
              <w:bottom w:val="nil"/>
              <w:right w:val="nil"/>
            </w:tcBorders>
            <w:shd w:val="clear" w:color="000000" w:fill="FFFFFF"/>
            <w:noWrap/>
            <w:vAlign w:val="center"/>
            <w:hideMark/>
          </w:tcPr>
          <w:p w14:paraId="69FE9CB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-2.317</w:t>
            </w:r>
          </w:p>
        </w:tc>
        <w:tc>
          <w:tcPr>
            <w:tcW w:w="0" w:type="auto"/>
            <w:tcBorders>
              <w:top w:val="nil"/>
              <w:left w:val="nil"/>
              <w:bottom w:val="nil"/>
              <w:right w:val="nil"/>
            </w:tcBorders>
            <w:shd w:val="clear" w:color="000000" w:fill="FFFFFF"/>
            <w:noWrap/>
            <w:vAlign w:val="center"/>
            <w:hideMark/>
          </w:tcPr>
          <w:p w14:paraId="67D03A2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-2.048**</w:t>
            </w:r>
          </w:p>
        </w:tc>
        <w:tc>
          <w:tcPr>
            <w:tcW w:w="0" w:type="auto"/>
            <w:tcBorders>
              <w:top w:val="nil"/>
              <w:left w:val="nil"/>
              <w:bottom w:val="nil"/>
              <w:right w:val="nil"/>
            </w:tcBorders>
            <w:shd w:val="clear" w:color="000000" w:fill="FFFFFF"/>
            <w:noWrap/>
            <w:vAlign w:val="center"/>
            <w:hideMark/>
          </w:tcPr>
          <w:p w14:paraId="3A52EFA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-2.429</w:t>
            </w:r>
          </w:p>
        </w:tc>
        <w:tc>
          <w:tcPr>
            <w:tcW w:w="0" w:type="auto"/>
            <w:tcBorders>
              <w:top w:val="nil"/>
              <w:left w:val="nil"/>
              <w:bottom w:val="nil"/>
              <w:right w:val="nil"/>
            </w:tcBorders>
            <w:shd w:val="clear" w:color="000000" w:fill="FFFFFF"/>
            <w:noWrap/>
            <w:vAlign w:val="center"/>
            <w:hideMark/>
          </w:tcPr>
          <w:p w14:paraId="1AC100E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-11.21*</w:t>
            </w:r>
          </w:p>
        </w:tc>
        <w:tc>
          <w:tcPr>
            <w:tcW w:w="0" w:type="auto"/>
            <w:tcBorders>
              <w:top w:val="nil"/>
              <w:left w:val="nil"/>
              <w:bottom w:val="nil"/>
              <w:right w:val="nil"/>
            </w:tcBorders>
            <w:shd w:val="clear" w:color="000000" w:fill="FFFFFF"/>
            <w:noWrap/>
            <w:vAlign w:val="center"/>
            <w:hideMark/>
          </w:tcPr>
          <w:p w14:paraId="794CAE4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-2.255</w:t>
            </w:r>
          </w:p>
        </w:tc>
        <w:tc>
          <w:tcPr>
            <w:tcW w:w="0" w:type="auto"/>
            <w:tcBorders>
              <w:top w:val="nil"/>
              <w:left w:val="nil"/>
              <w:bottom w:val="nil"/>
              <w:right w:val="nil"/>
            </w:tcBorders>
            <w:shd w:val="clear" w:color="000000" w:fill="FFFFFF"/>
            <w:noWrap/>
            <w:vAlign w:val="center"/>
            <w:hideMark/>
          </w:tcPr>
          <w:p w14:paraId="0DC7C10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0.7216**</w:t>
            </w:r>
          </w:p>
        </w:tc>
        <w:tc>
          <w:tcPr>
            <w:tcW w:w="0" w:type="auto"/>
            <w:tcBorders>
              <w:top w:val="nil"/>
              <w:left w:val="nil"/>
              <w:bottom w:val="nil"/>
              <w:right w:val="nil"/>
            </w:tcBorders>
            <w:shd w:val="clear" w:color="000000" w:fill="FFFFFF"/>
            <w:noWrap/>
            <w:vAlign w:val="center"/>
            <w:hideMark/>
          </w:tcPr>
          <w:p w14:paraId="4343EEB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83</w:t>
            </w:r>
          </w:p>
        </w:tc>
      </w:tr>
      <w:tr w:rsidR="009C67F2" w:rsidRPr="00935EAC" w14:paraId="2DD0115C"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2B226A7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Czech Republic</w:t>
            </w:r>
          </w:p>
        </w:tc>
        <w:tc>
          <w:tcPr>
            <w:tcW w:w="0" w:type="auto"/>
            <w:tcBorders>
              <w:top w:val="nil"/>
              <w:left w:val="nil"/>
              <w:bottom w:val="nil"/>
              <w:right w:val="nil"/>
            </w:tcBorders>
            <w:shd w:val="clear" w:color="000000" w:fill="FFFFFF"/>
            <w:noWrap/>
            <w:vAlign w:val="center"/>
            <w:hideMark/>
          </w:tcPr>
          <w:p w14:paraId="625C2FE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-3.523***</w:t>
            </w:r>
          </w:p>
        </w:tc>
        <w:tc>
          <w:tcPr>
            <w:tcW w:w="0" w:type="auto"/>
            <w:tcBorders>
              <w:top w:val="nil"/>
              <w:left w:val="nil"/>
              <w:bottom w:val="nil"/>
              <w:right w:val="nil"/>
            </w:tcBorders>
            <w:shd w:val="clear" w:color="000000" w:fill="FFFFFF"/>
            <w:noWrap/>
            <w:vAlign w:val="center"/>
            <w:hideMark/>
          </w:tcPr>
          <w:p w14:paraId="05A6796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-1.273</w:t>
            </w:r>
          </w:p>
        </w:tc>
        <w:tc>
          <w:tcPr>
            <w:tcW w:w="0" w:type="auto"/>
            <w:tcBorders>
              <w:top w:val="nil"/>
              <w:left w:val="nil"/>
              <w:bottom w:val="nil"/>
              <w:right w:val="nil"/>
            </w:tcBorders>
            <w:shd w:val="clear" w:color="000000" w:fill="FFFFFF"/>
            <w:noWrap/>
            <w:vAlign w:val="center"/>
            <w:hideMark/>
          </w:tcPr>
          <w:p w14:paraId="5E8B242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-5.599***</w:t>
            </w:r>
          </w:p>
        </w:tc>
        <w:tc>
          <w:tcPr>
            <w:tcW w:w="0" w:type="auto"/>
            <w:tcBorders>
              <w:top w:val="nil"/>
              <w:left w:val="nil"/>
              <w:bottom w:val="nil"/>
              <w:right w:val="nil"/>
            </w:tcBorders>
            <w:shd w:val="clear" w:color="000000" w:fill="FFFFFF"/>
            <w:noWrap/>
            <w:vAlign w:val="center"/>
            <w:hideMark/>
          </w:tcPr>
          <w:p w14:paraId="1AF6C29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-51.31***</w:t>
            </w:r>
          </w:p>
        </w:tc>
        <w:tc>
          <w:tcPr>
            <w:tcW w:w="0" w:type="auto"/>
            <w:tcBorders>
              <w:top w:val="nil"/>
              <w:left w:val="nil"/>
              <w:bottom w:val="nil"/>
              <w:right w:val="nil"/>
            </w:tcBorders>
            <w:shd w:val="clear" w:color="000000" w:fill="FFFFFF"/>
            <w:noWrap/>
            <w:vAlign w:val="center"/>
            <w:hideMark/>
          </w:tcPr>
          <w:p w14:paraId="0792D25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-2.615</w:t>
            </w:r>
          </w:p>
        </w:tc>
        <w:tc>
          <w:tcPr>
            <w:tcW w:w="0" w:type="auto"/>
            <w:tcBorders>
              <w:top w:val="nil"/>
              <w:left w:val="nil"/>
              <w:bottom w:val="nil"/>
              <w:right w:val="nil"/>
            </w:tcBorders>
            <w:shd w:val="clear" w:color="000000" w:fill="FFFFFF"/>
            <w:noWrap/>
            <w:vAlign w:val="center"/>
            <w:hideMark/>
          </w:tcPr>
          <w:p w14:paraId="269C777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3.235***</w:t>
            </w:r>
          </w:p>
        </w:tc>
        <w:tc>
          <w:tcPr>
            <w:tcW w:w="0" w:type="auto"/>
            <w:tcBorders>
              <w:top w:val="nil"/>
              <w:left w:val="nil"/>
              <w:bottom w:val="nil"/>
              <w:right w:val="nil"/>
            </w:tcBorders>
            <w:shd w:val="clear" w:color="000000" w:fill="FFFFFF"/>
            <w:noWrap/>
            <w:vAlign w:val="center"/>
            <w:hideMark/>
          </w:tcPr>
          <w:p w14:paraId="5BA0405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128</w:t>
            </w:r>
          </w:p>
        </w:tc>
      </w:tr>
      <w:tr w:rsidR="009C67F2" w:rsidRPr="00935EAC" w14:paraId="54F6904A"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2236B72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Denmark</w:t>
            </w:r>
          </w:p>
        </w:tc>
        <w:tc>
          <w:tcPr>
            <w:tcW w:w="0" w:type="auto"/>
            <w:tcBorders>
              <w:top w:val="nil"/>
              <w:left w:val="nil"/>
              <w:bottom w:val="nil"/>
              <w:right w:val="nil"/>
            </w:tcBorders>
            <w:shd w:val="clear" w:color="000000" w:fill="FFFFFF"/>
            <w:noWrap/>
            <w:vAlign w:val="center"/>
            <w:hideMark/>
          </w:tcPr>
          <w:p w14:paraId="281D775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0.1432</w:t>
            </w:r>
          </w:p>
        </w:tc>
        <w:tc>
          <w:tcPr>
            <w:tcW w:w="0" w:type="auto"/>
            <w:tcBorders>
              <w:top w:val="nil"/>
              <w:left w:val="nil"/>
              <w:bottom w:val="nil"/>
              <w:right w:val="nil"/>
            </w:tcBorders>
            <w:shd w:val="clear" w:color="000000" w:fill="FFFFFF"/>
            <w:noWrap/>
            <w:vAlign w:val="center"/>
            <w:hideMark/>
          </w:tcPr>
          <w:p w14:paraId="0D77F71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1.403</w:t>
            </w:r>
          </w:p>
        </w:tc>
        <w:tc>
          <w:tcPr>
            <w:tcW w:w="0" w:type="auto"/>
            <w:tcBorders>
              <w:top w:val="nil"/>
              <w:left w:val="nil"/>
              <w:bottom w:val="nil"/>
              <w:right w:val="nil"/>
            </w:tcBorders>
            <w:shd w:val="clear" w:color="000000" w:fill="FFFFFF"/>
            <w:noWrap/>
            <w:vAlign w:val="center"/>
            <w:hideMark/>
          </w:tcPr>
          <w:p w14:paraId="4E4FB0F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w:t>
            </w:r>
          </w:p>
        </w:tc>
        <w:tc>
          <w:tcPr>
            <w:tcW w:w="0" w:type="auto"/>
            <w:tcBorders>
              <w:top w:val="nil"/>
              <w:left w:val="nil"/>
              <w:bottom w:val="nil"/>
              <w:right w:val="nil"/>
            </w:tcBorders>
            <w:shd w:val="clear" w:color="000000" w:fill="FFFFFF"/>
            <w:noWrap/>
            <w:vAlign w:val="center"/>
            <w:hideMark/>
          </w:tcPr>
          <w:p w14:paraId="624575C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-8.903</w:t>
            </w:r>
          </w:p>
        </w:tc>
        <w:tc>
          <w:tcPr>
            <w:tcW w:w="0" w:type="auto"/>
            <w:tcBorders>
              <w:top w:val="nil"/>
              <w:left w:val="nil"/>
              <w:bottom w:val="nil"/>
              <w:right w:val="nil"/>
            </w:tcBorders>
            <w:shd w:val="clear" w:color="000000" w:fill="FFFFFF"/>
            <w:noWrap/>
            <w:vAlign w:val="center"/>
            <w:hideMark/>
          </w:tcPr>
          <w:p w14:paraId="1DC4696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-4.216***</w:t>
            </w:r>
          </w:p>
        </w:tc>
        <w:tc>
          <w:tcPr>
            <w:tcW w:w="0" w:type="auto"/>
            <w:tcBorders>
              <w:top w:val="nil"/>
              <w:left w:val="nil"/>
              <w:bottom w:val="nil"/>
              <w:right w:val="nil"/>
            </w:tcBorders>
            <w:shd w:val="clear" w:color="000000" w:fill="FFFFFF"/>
            <w:noWrap/>
            <w:vAlign w:val="center"/>
            <w:hideMark/>
          </w:tcPr>
          <w:p w14:paraId="130B5B0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16.17***</w:t>
            </w:r>
          </w:p>
        </w:tc>
        <w:tc>
          <w:tcPr>
            <w:tcW w:w="0" w:type="auto"/>
            <w:tcBorders>
              <w:top w:val="nil"/>
              <w:left w:val="nil"/>
              <w:bottom w:val="nil"/>
              <w:right w:val="nil"/>
            </w:tcBorders>
            <w:shd w:val="clear" w:color="000000" w:fill="FFFFFF"/>
            <w:noWrap/>
            <w:vAlign w:val="center"/>
            <w:hideMark/>
          </w:tcPr>
          <w:p w14:paraId="35B0A6A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193</w:t>
            </w:r>
          </w:p>
        </w:tc>
      </w:tr>
      <w:tr w:rsidR="009C67F2" w:rsidRPr="00935EAC" w14:paraId="51086658"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120A3A2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El_Salvador</w:t>
            </w:r>
          </w:p>
        </w:tc>
        <w:tc>
          <w:tcPr>
            <w:tcW w:w="0" w:type="auto"/>
            <w:tcBorders>
              <w:top w:val="nil"/>
              <w:left w:val="nil"/>
              <w:bottom w:val="nil"/>
              <w:right w:val="nil"/>
            </w:tcBorders>
            <w:shd w:val="clear" w:color="000000" w:fill="FFFFFF"/>
            <w:noWrap/>
            <w:vAlign w:val="center"/>
            <w:hideMark/>
          </w:tcPr>
          <w:p w14:paraId="2D64D64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-2.405</w:t>
            </w:r>
          </w:p>
        </w:tc>
        <w:tc>
          <w:tcPr>
            <w:tcW w:w="0" w:type="auto"/>
            <w:tcBorders>
              <w:top w:val="nil"/>
              <w:left w:val="nil"/>
              <w:bottom w:val="nil"/>
              <w:right w:val="nil"/>
            </w:tcBorders>
            <w:shd w:val="clear" w:color="000000" w:fill="FFFFFF"/>
            <w:noWrap/>
            <w:vAlign w:val="center"/>
            <w:hideMark/>
          </w:tcPr>
          <w:p w14:paraId="107C8CC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-2.077*</w:t>
            </w:r>
          </w:p>
        </w:tc>
        <w:tc>
          <w:tcPr>
            <w:tcW w:w="0" w:type="auto"/>
            <w:tcBorders>
              <w:top w:val="nil"/>
              <w:left w:val="nil"/>
              <w:bottom w:val="nil"/>
              <w:right w:val="nil"/>
            </w:tcBorders>
            <w:shd w:val="clear" w:color="000000" w:fill="FFFFFF"/>
            <w:noWrap/>
            <w:vAlign w:val="center"/>
            <w:hideMark/>
          </w:tcPr>
          <w:p w14:paraId="1530755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-3.281**</w:t>
            </w:r>
          </w:p>
        </w:tc>
        <w:tc>
          <w:tcPr>
            <w:tcW w:w="0" w:type="auto"/>
            <w:tcBorders>
              <w:top w:val="nil"/>
              <w:left w:val="nil"/>
              <w:bottom w:val="nil"/>
              <w:right w:val="nil"/>
            </w:tcBorders>
            <w:shd w:val="clear" w:color="000000" w:fill="FFFFFF"/>
            <w:noWrap/>
            <w:vAlign w:val="center"/>
            <w:hideMark/>
          </w:tcPr>
          <w:p w14:paraId="7F138C4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-20.72***</w:t>
            </w:r>
          </w:p>
        </w:tc>
        <w:tc>
          <w:tcPr>
            <w:tcW w:w="0" w:type="auto"/>
            <w:tcBorders>
              <w:top w:val="nil"/>
              <w:left w:val="nil"/>
              <w:bottom w:val="nil"/>
              <w:right w:val="nil"/>
            </w:tcBorders>
            <w:shd w:val="clear" w:color="000000" w:fill="FFFFFF"/>
            <w:noWrap/>
            <w:vAlign w:val="center"/>
            <w:hideMark/>
          </w:tcPr>
          <w:p w14:paraId="2BF8BC8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-2.665</w:t>
            </w:r>
          </w:p>
        </w:tc>
        <w:tc>
          <w:tcPr>
            <w:tcW w:w="0" w:type="auto"/>
            <w:tcBorders>
              <w:top w:val="nil"/>
              <w:left w:val="nil"/>
              <w:bottom w:val="nil"/>
              <w:right w:val="nil"/>
            </w:tcBorders>
            <w:shd w:val="clear" w:color="000000" w:fill="FFFFFF"/>
            <w:noWrap/>
            <w:vAlign w:val="center"/>
            <w:hideMark/>
          </w:tcPr>
          <w:p w14:paraId="00649CE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0.6591**</w:t>
            </w:r>
          </w:p>
        </w:tc>
        <w:tc>
          <w:tcPr>
            <w:tcW w:w="0" w:type="auto"/>
            <w:tcBorders>
              <w:top w:val="nil"/>
              <w:left w:val="nil"/>
              <w:bottom w:val="nil"/>
              <w:right w:val="nil"/>
            </w:tcBorders>
            <w:shd w:val="clear" w:color="000000" w:fill="FFFFFF"/>
            <w:noWrap/>
            <w:vAlign w:val="center"/>
            <w:hideMark/>
          </w:tcPr>
          <w:p w14:paraId="2EE2E21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85</w:t>
            </w:r>
          </w:p>
        </w:tc>
      </w:tr>
      <w:tr w:rsidR="009C67F2" w:rsidRPr="00935EAC" w14:paraId="74EFDD39"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4A4B2BF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Estonia</w:t>
            </w:r>
          </w:p>
        </w:tc>
        <w:tc>
          <w:tcPr>
            <w:tcW w:w="0" w:type="auto"/>
            <w:tcBorders>
              <w:top w:val="nil"/>
              <w:left w:val="nil"/>
              <w:bottom w:val="nil"/>
              <w:right w:val="nil"/>
            </w:tcBorders>
            <w:shd w:val="clear" w:color="000000" w:fill="FFFFFF"/>
            <w:noWrap/>
            <w:vAlign w:val="center"/>
            <w:hideMark/>
          </w:tcPr>
          <w:p w14:paraId="40E26F1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-2.571*</w:t>
            </w:r>
          </w:p>
        </w:tc>
        <w:tc>
          <w:tcPr>
            <w:tcW w:w="0" w:type="auto"/>
            <w:tcBorders>
              <w:top w:val="nil"/>
              <w:left w:val="nil"/>
              <w:bottom w:val="nil"/>
              <w:right w:val="nil"/>
            </w:tcBorders>
            <w:shd w:val="clear" w:color="000000" w:fill="FFFFFF"/>
            <w:noWrap/>
            <w:vAlign w:val="center"/>
            <w:hideMark/>
          </w:tcPr>
          <w:p w14:paraId="49CC55F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-1.401</w:t>
            </w:r>
          </w:p>
        </w:tc>
        <w:tc>
          <w:tcPr>
            <w:tcW w:w="0" w:type="auto"/>
            <w:tcBorders>
              <w:top w:val="nil"/>
              <w:left w:val="nil"/>
              <w:bottom w:val="nil"/>
              <w:right w:val="nil"/>
            </w:tcBorders>
            <w:shd w:val="clear" w:color="000000" w:fill="FFFFFF"/>
            <w:noWrap/>
            <w:vAlign w:val="center"/>
            <w:hideMark/>
          </w:tcPr>
          <w:p w14:paraId="3F0BB13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-3.612***</w:t>
            </w:r>
          </w:p>
        </w:tc>
        <w:tc>
          <w:tcPr>
            <w:tcW w:w="0" w:type="auto"/>
            <w:tcBorders>
              <w:top w:val="nil"/>
              <w:left w:val="nil"/>
              <w:bottom w:val="nil"/>
              <w:right w:val="nil"/>
            </w:tcBorders>
            <w:shd w:val="clear" w:color="000000" w:fill="FFFFFF"/>
            <w:noWrap/>
            <w:vAlign w:val="center"/>
            <w:hideMark/>
          </w:tcPr>
          <w:p w14:paraId="3E9955F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-22.46***</w:t>
            </w:r>
          </w:p>
        </w:tc>
        <w:tc>
          <w:tcPr>
            <w:tcW w:w="0" w:type="auto"/>
            <w:tcBorders>
              <w:top w:val="nil"/>
              <w:left w:val="nil"/>
              <w:bottom w:val="nil"/>
              <w:right w:val="nil"/>
            </w:tcBorders>
            <w:shd w:val="clear" w:color="000000" w:fill="FFFFFF"/>
            <w:noWrap/>
            <w:vAlign w:val="center"/>
            <w:hideMark/>
          </w:tcPr>
          <w:p w14:paraId="1B83517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-1.953</w:t>
            </w:r>
          </w:p>
        </w:tc>
        <w:tc>
          <w:tcPr>
            <w:tcW w:w="0" w:type="auto"/>
            <w:tcBorders>
              <w:top w:val="nil"/>
              <w:left w:val="nil"/>
              <w:bottom w:val="nil"/>
              <w:right w:val="nil"/>
            </w:tcBorders>
            <w:shd w:val="clear" w:color="000000" w:fill="FFFFFF"/>
            <w:noWrap/>
            <w:vAlign w:val="center"/>
            <w:hideMark/>
          </w:tcPr>
          <w:p w14:paraId="17D9750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3.731***</w:t>
            </w:r>
          </w:p>
        </w:tc>
        <w:tc>
          <w:tcPr>
            <w:tcW w:w="0" w:type="auto"/>
            <w:tcBorders>
              <w:top w:val="nil"/>
              <w:left w:val="nil"/>
              <w:bottom w:val="nil"/>
              <w:right w:val="nil"/>
            </w:tcBorders>
            <w:shd w:val="clear" w:color="000000" w:fill="FFFFFF"/>
            <w:noWrap/>
            <w:vAlign w:val="center"/>
            <w:hideMark/>
          </w:tcPr>
          <w:p w14:paraId="0C6AB6B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128</w:t>
            </w:r>
          </w:p>
        </w:tc>
      </w:tr>
      <w:tr w:rsidR="009C67F2" w:rsidRPr="00935EAC" w14:paraId="101C907A"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3106B8A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Finland</w:t>
            </w:r>
          </w:p>
        </w:tc>
        <w:tc>
          <w:tcPr>
            <w:tcW w:w="0" w:type="auto"/>
            <w:tcBorders>
              <w:top w:val="nil"/>
              <w:left w:val="nil"/>
              <w:bottom w:val="nil"/>
              <w:right w:val="nil"/>
            </w:tcBorders>
            <w:shd w:val="clear" w:color="000000" w:fill="FFFFFF"/>
            <w:noWrap/>
            <w:vAlign w:val="center"/>
            <w:hideMark/>
          </w:tcPr>
          <w:p w14:paraId="69E6127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-2.651*</w:t>
            </w:r>
          </w:p>
        </w:tc>
        <w:tc>
          <w:tcPr>
            <w:tcW w:w="0" w:type="auto"/>
            <w:tcBorders>
              <w:top w:val="nil"/>
              <w:left w:val="nil"/>
              <w:bottom w:val="nil"/>
              <w:right w:val="nil"/>
            </w:tcBorders>
            <w:shd w:val="clear" w:color="000000" w:fill="FFFFFF"/>
            <w:noWrap/>
            <w:vAlign w:val="center"/>
            <w:hideMark/>
          </w:tcPr>
          <w:p w14:paraId="3A5F437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-0.9337</w:t>
            </w:r>
          </w:p>
        </w:tc>
        <w:tc>
          <w:tcPr>
            <w:tcW w:w="0" w:type="auto"/>
            <w:tcBorders>
              <w:top w:val="nil"/>
              <w:left w:val="nil"/>
              <w:bottom w:val="nil"/>
              <w:right w:val="nil"/>
            </w:tcBorders>
            <w:shd w:val="clear" w:color="000000" w:fill="FFFFFF"/>
            <w:noWrap/>
            <w:vAlign w:val="center"/>
            <w:hideMark/>
          </w:tcPr>
          <w:p w14:paraId="73ACC73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-3.635***</w:t>
            </w:r>
          </w:p>
        </w:tc>
        <w:tc>
          <w:tcPr>
            <w:tcW w:w="0" w:type="auto"/>
            <w:tcBorders>
              <w:top w:val="nil"/>
              <w:left w:val="nil"/>
              <w:bottom w:val="nil"/>
              <w:right w:val="nil"/>
            </w:tcBorders>
            <w:shd w:val="clear" w:color="000000" w:fill="FFFFFF"/>
            <w:noWrap/>
            <w:vAlign w:val="center"/>
            <w:hideMark/>
          </w:tcPr>
          <w:p w14:paraId="466424C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-22.45***</w:t>
            </w:r>
          </w:p>
        </w:tc>
        <w:tc>
          <w:tcPr>
            <w:tcW w:w="0" w:type="auto"/>
            <w:tcBorders>
              <w:top w:val="nil"/>
              <w:left w:val="nil"/>
              <w:bottom w:val="nil"/>
              <w:right w:val="nil"/>
            </w:tcBorders>
            <w:shd w:val="clear" w:color="000000" w:fill="FFFFFF"/>
            <w:noWrap/>
            <w:vAlign w:val="center"/>
            <w:hideMark/>
          </w:tcPr>
          <w:p w14:paraId="0AE4F52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w:t>
            </w:r>
          </w:p>
        </w:tc>
        <w:tc>
          <w:tcPr>
            <w:tcW w:w="0" w:type="auto"/>
            <w:tcBorders>
              <w:top w:val="nil"/>
              <w:left w:val="nil"/>
              <w:bottom w:val="nil"/>
              <w:right w:val="nil"/>
            </w:tcBorders>
            <w:shd w:val="clear" w:color="000000" w:fill="FFFFFF"/>
            <w:noWrap/>
            <w:vAlign w:val="center"/>
            <w:hideMark/>
          </w:tcPr>
          <w:p w14:paraId="0C9D14B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2.963***</w:t>
            </w:r>
          </w:p>
        </w:tc>
        <w:tc>
          <w:tcPr>
            <w:tcW w:w="0" w:type="auto"/>
            <w:tcBorders>
              <w:top w:val="nil"/>
              <w:left w:val="nil"/>
              <w:bottom w:val="nil"/>
              <w:right w:val="nil"/>
            </w:tcBorders>
            <w:shd w:val="clear" w:color="000000" w:fill="FFFFFF"/>
            <w:noWrap/>
            <w:vAlign w:val="center"/>
            <w:hideMark/>
          </w:tcPr>
          <w:p w14:paraId="012F56A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200</w:t>
            </w:r>
          </w:p>
        </w:tc>
      </w:tr>
      <w:tr w:rsidR="009C67F2" w:rsidRPr="00935EAC" w14:paraId="61542915"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32DF4E3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France</w:t>
            </w:r>
          </w:p>
        </w:tc>
        <w:tc>
          <w:tcPr>
            <w:tcW w:w="0" w:type="auto"/>
            <w:tcBorders>
              <w:top w:val="nil"/>
              <w:left w:val="nil"/>
              <w:bottom w:val="nil"/>
              <w:right w:val="nil"/>
            </w:tcBorders>
            <w:shd w:val="clear" w:color="000000" w:fill="FFFFFF"/>
            <w:noWrap/>
            <w:vAlign w:val="center"/>
            <w:hideMark/>
          </w:tcPr>
          <w:p w14:paraId="3BC7AA2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-2.012</w:t>
            </w:r>
          </w:p>
        </w:tc>
        <w:tc>
          <w:tcPr>
            <w:tcW w:w="0" w:type="auto"/>
            <w:tcBorders>
              <w:top w:val="nil"/>
              <w:left w:val="nil"/>
              <w:bottom w:val="nil"/>
              <w:right w:val="nil"/>
            </w:tcBorders>
            <w:shd w:val="clear" w:color="000000" w:fill="FFFFFF"/>
            <w:noWrap/>
            <w:vAlign w:val="center"/>
            <w:hideMark/>
          </w:tcPr>
          <w:p w14:paraId="75D724B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-1.744*</w:t>
            </w:r>
          </w:p>
        </w:tc>
        <w:tc>
          <w:tcPr>
            <w:tcW w:w="0" w:type="auto"/>
            <w:tcBorders>
              <w:top w:val="nil"/>
              <w:left w:val="nil"/>
              <w:bottom w:val="nil"/>
              <w:right w:val="nil"/>
            </w:tcBorders>
            <w:shd w:val="clear" w:color="000000" w:fill="FFFFFF"/>
            <w:noWrap/>
            <w:vAlign w:val="center"/>
            <w:hideMark/>
          </w:tcPr>
          <w:p w14:paraId="59A79B5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-4.806***</w:t>
            </w:r>
          </w:p>
        </w:tc>
        <w:tc>
          <w:tcPr>
            <w:tcW w:w="0" w:type="auto"/>
            <w:tcBorders>
              <w:top w:val="nil"/>
              <w:left w:val="nil"/>
              <w:bottom w:val="nil"/>
              <w:right w:val="nil"/>
            </w:tcBorders>
            <w:shd w:val="clear" w:color="000000" w:fill="FFFFFF"/>
            <w:noWrap/>
            <w:vAlign w:val="center"/>
            <w:hideMark/>
          </w:tcPr>
          <w:p w14:paraId="0DFEB74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-41.7***</w:t>
            </w:r>
          </w:p>
        </w:tc>
        <w:tc>
          <w:tcPr>
            <w:tcW w:w="0" w:type="auto"/>
            <w:tcBorders>
              <w:top w:val="nil"/>
              <w:left w:val="nil"/>
              <w:bottom w:val="nil"/>
              <w:right w:val="nil"/>
            </w:tcBorders>
            <w:shd w:val="clear" w:color="000000" w:fill="FFFFFF"/>
            <w:noWrap/>
            <w:vAlign w:val="center"/>
            <w:hideMark/>
          </w:tcPr>
          <w:p w14:paraId="7FC965B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-2.018</w:t>
            </w:r>
          </w:p>
        </w:tc>
        <w:tc>
          <w:tcPr>
            <w:tcW w:w="0" w:type="auto"/>
            <w:tcBorders>
              <w:top w:val="nil"/>
              <w:left w:val="nil"/>
              <w:bottom w:val="nil"/>
              <w:right w:val="nil"/>
            </w:tcBorders>
            <w:shd w:val="clear" w:color="000000" w:fill="FFFFFF"/>
            <w:noWrap/>
            <w:vAlign w:val="center"/>
            <w:hideMark/>
          </w:tcPr>
          <w:p w14:paraId="6C4F4E2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1.809***</w:t>
            </w:r>
          </w:p>
        </w:tc>
        <w:tc>
          <w:tcPr>
            <w:tcW w:w="0" w:type="auto"/>
            <w:tcBorders>
              <w:top w:val="nil"/>
              <w:left w:val="nil"/>
              <w:bottom w:val="nil"/>
              <w:right w:val="nil"/>
            </w:tcBorders>
            <w:shd w:val="clear" w:color="000000" w:fill="FFFFFF"/>
            <w:noWrap/>
            <w:vAlign w:val="center"/>
            <w:hideMark/>
          </w:tcPr>
          <w:p w14:paraId="39753A8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200</w:t>
            </w:r>
          </w:p>
        </w:tc>
      </w:tr>
      <w:tr w:rsidR="009C67F2" w:rsidRPr="00935EAC" w14:paraId="2E31F25B"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74B9001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Georgia</w:t>
            </w:r>
          </w:p>
        </w:tc>
        <w:tc>
          <w:tcPr>
            <w:tcW w:w="0" w:type="auto"/>
            <w:tcBorders>
              <w:top w:val="nil"/>
              <w:left w:val="nil"/>
              <w:bottom w:val="nil"/>
              <w:right w:val="nil"/>
            </w:tcBorders>
            <w:shd w:val="clear" w:color="000000" w:fill="FFFFFF"/>
            <w:noWrap/>
            <w:vAlign w:val="center"/>
            <w:hideMark/>
          </w:tcPr>
          <w:p w14:paraId="7846518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-2.794*</w:t>
            </w:r>
          </w:p>
        </w:tc>
        <w:tc>
          <w:tcPr>
            <w:tcW w:w="0" w:type="auto"/>
            <w:tcBorders>
              <w:top w:val="nil"/>
              <w:left w:val="nil"/>
              <w:bottom w:val="nil"/>
              <w:right w:val="nil"/>
            </w:tcBorders>
            <w:shd w:val="clear" w:color="000000" w:fill="FFFFFF"/>
            <w:noWrap/>
            <w:vAlign w:val="center"/>
            <w:hideMark/>
          </w:tcPr>
          <w:p w14:paraId="3CB328D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-2.228**</w:t>
            </w:r>
          </w:p>
        </w:tc>
        <w:tc>
          <w:tcPr>
            <w:tcW w:w="0" w:type="auto"/>
            <w:tcBorders>
              <w:top w:val="nil"/>
              <w:left w:val="nil"/>
              <w:bottom w:val="nil"/>
              <w:right w:val="nil"/>
            </w:tcBorders>
            <w:shd w:val="clear" w:color="000000" w:fill="FFFFFF"/>
            <w:noWrap/>
            <w:vAlign w:val="center"/>
            <w:hideMark/>
          </w:tcPr>
          <w:p w14:paraId="4031ECB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-2.516</w:t>
            </w:r>
          </w:p>
        </w:tc>
        <w:tc>
          <w:tcPr>
            <w:tcW w:w="0" w:type="auto"/>
            <w:tcBorders>
              <w:top w:val="nil"/>
              <w:left w:val="nil"/>
              <w:bottom w:val="nil"/>
              <w:right w:val="nil"/>
            </w:tcBorders>
            <w:shd w:val="clear" w:color="000000" w:fill="FFFFFF"/>
            <w:noWrap/>
            <w:vAlign w:val="center"/>
            <w:hideMark/>
          </w:tcPr>
          <w:p w14:paraId="5652D59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-11.88*</w:t>
            </w:r>
          </w:p>
        </w:tc>
        <w:tc>
          <w:tcPr>
            <w:tcW w:w="0" w:type="auto"/>
            <w:tcBorders>
              <w:top w:val="nil"/>
              <w:left w:val="nil"/>
              <w:bottom w:val="nil"/>
              <w:right w:val="nil"/>
            </w:tcBorders>
            <w:shd w:val="clear" w:color="000000" w:fill="FFFFFF"/>
            <w:noWrap/>
            <w:vAlign w:val="center"/>
            <w:hideMark/>
          </w:tcPr>
          <w:p w14:paraId="42D8C2A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-2.388</w:t>
            </w:r>
          </w:p>
        </w:tc>
        <w:tc>
          <w:tcPr>
            <w:tcW w:w="0" w:type="auto"/>
            <w:tcBorders>
              <w:top w:val="nil"/>
              <w:left w:val="nil"/>
              <w:bottom w:val="nil"/>
              <w:right w:val="nil"/>
            </w:tcBorders>
            <w:shd w:val="clear" w:color="000000" w:fill="FFFFFF"/>
            <w:noWrap/>
            <w:vAlign w:val="center"/>
            <w:hideMark/>
          </w:tcPr>
          <w:p w14:paraId="10B0F88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0.8678***</w:t>
            </w:r>
          </w:p>
        </w:tc>
        <w:tc>
          <w:tcPr>
            <w:tcW w:w="0" w:type="auto"/>
            <w:tcBorders>
              <w:top w:val="nil"/>
              <w:left w:val="nil"/>
              <w:bottom w:val="nil"/>
              <w:right w:val="nil"/>
            </w:tcBorders>
            <w:shd w:val="clear" w:color="000000" w:fill="FFFFFF"/>
            <w:noWrap/>
            <w:vAlign w:val="center"/>
            <w:hideMark/>
          </w:tcPr>
          <w:p w14:paraId="703B4E2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93</w:t>
            </w:r>
          </w:p>
        </w:tc>
      </w:tr>
      <w:tr w:rsidR="009C67F2" w:rsidRPr="00935EAC" w14:paraId="727B63DA"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4D2B4BE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Germany</w:t>
            </w:r>
          </w:p>
        </w:tc>
        <w:tc>
          <w:tcPr>
            <w:tcW w:w="0" w:type="auto"/>
            <w:tcBorders>
              <w:top w:val="nil"/>
              <w:left w:val="nil"/>
              <w:bottom w:val="nil"/>
              <w:right w:val="nil"/>
            </w:tcBorders>
            <w:shd w:val="clear" w:color="000000" w:fill="FFFFFF"/>
            <w:noWrap/>
            <w:vAlign w:val="center"/>
            <w:hideMark/>
          </w:tcPr>
          <w:p w14:paraId="110C85C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-1.919</w:t>
            </w:r>
          </w:p>
        </w:tc>
        <w:tc>
          <w:tcPr>
            <w:tcW w:w="0" w:type="auto"/>
            <w:tcBorders>
              <w:top w:val="nil"/>
              <w:left w:val="nil"/>
              <w:bottom w:val="nil"/>
              <w:right w:val="nil"/>
            </w:tcBorders>
            <w:shd w:val="clear" w:color="000000" w:fill="FFFFFF"/>
            <w:noWrap/>
            <w:vAlign w:val="center"/>
            <w:hideMark/>
          </w:tcPr>
          <w:p w14:paraId="28753CD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-1.445</w:t>
            </w:r>
          </w:p>
        </w:tc>
        <w:tc>
          <w:tcPr>
            <w:tcW w:w="0" w:type="auto"/>
            <w:tcBorders>
              <w:top w:val="nil"/>
              <w:left w:val="nil"/>
              <w:bottom w:val="nil"/>
              <w:right w:val="nil"/>
            </w:tcBorders>
            <w:shd w:val="clear" w:color="000000" w:fill="FFFFFF"/>
            <w:noWrap/>
            <w:vAlign w:val="center"/>
            <w:hideMark/>
          </w:tcPr>
          <w:p w14:paraId="34AB251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-1.919</w:t>
            </w:r>
          </w:p>
        </w:tc>
        <w:tc>
          <w:tcPr>
            <w:tcW w:w="0" w:type="auto"/>
            <w:tcBorders>
              <w:top w:val="nil"/>
              <w:left w:val="nil"/>
              <w:bottom w:val="nil"/>
              <w:right w:val="nil"/>
            </w:tcBorders>
            <w:shd w:val="clear" w:color="000000" w:fill="FFFFFF"/>
            <w:noWrap/>
            <w:vAlign w:val="center"/>
            <w:hideMark/>
          </w:tcPr>
          <w:p w14:paraId="24BAFDA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-7.04</w:t>
            </w:r>
          </w:p>
        </w:tc>
        <w:tc>
          <w:tcPr>
            <w:tcW w:w="0" w:type="auto"/>
            <w:tcBorders>
              <w:top w:val="nil"/>
              <w:left w:val="nil"/>
              <w:bottom w:val="nil"/>
              <w:right w:val="nil"/>
            </w:tcBorders>
            <w:shd w:val="clear" w:color="000000" w:fill="FFFFFF"/>
            <w:noWrap/>
            <w:vAlign w:val="center"/>
            <w:hideMark/>
          </w:tcPr>
          <w:p w14:paraId="34A1099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-2.323</w:t>
            </w:r>
          </w:p>
        </w:tc>
        <w:tc>
          <w:tcPr>
            <w:tcW w:w="0" w:type="auto"/>
            <w:tcBorders>
              <w:top w:val="nil"/>
              <w:left w:val="nil"/>
              <w:bottom w:val="nil"/>
              <w:right w:val="nil"/>
            </w:tcBorders>
            <w:shd w:val="clear" w:color="000000" w:fill="FFFFFF"/>
            <w:noWrap/>
            <w:vAlign w:val="center"/>
            <w:hideMark/>
          </w:tcPr>
          <w:p w14:paraId="20FABD1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11.88***</w:t>
            </w:r>
          </w:p>
        </w:tc>
        <w:tc>
          <w:tcPr>
            <w:tcW w:w="0" w:type="auto"/>
            <w:tcBorders>
              <w:top w:val="nil"/>
              <w:left w:val="nil"/>
              <w:bottom w:val="nil"/>
              <w:right w:val="nil"/>
            </w:tcBorders>
            <w:shd w:val="clear" w:color="000000" w:fill="FFFFFF"/>
            <w:noWrap/>
            <w:vAlign w:val="center"/>
            <w:hideMark/>
          </w:tcPr>
          <w:p w14:paraId="4E356BF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216</w:t>
            </w:r>
          </w:p>
        </w:tc>
      </w:tr>
      <w:tr w:rsidR="009C67F2" w:rsidRPr="00935EAC" w14:paraId="2675FB34"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02B297D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Greece</w:t>
            </w:r>
          </w:p>
        </w:tc>
        <w:tc>
          <w:tcPr>
            <w:tcW w:w="0" w:type="auto"/>
            <w:tcBorders>
              <w:top w:val="nil"/>
              <w:left w:val="nil"/>
              <w:bottom w:val="nil"/>
              <w:right w:val="nil"/>
            </w:tcBorders>
            <w:shd w:val="clear" w:color="000000" w:fill="FFFFFF"/>
            <w:noWrap/>
            <w:vAlign w:val="center"/>
            <w:hideMark/>
          </w:tcPr>
          <w:p w14:paraId="1877A71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-1.919</w:t>
            </w:r>
          </w:p>
        </w:tc>
        <w:tc>
          <w:tcPr>
            <w:tcW w:w="0" w:type="auto"/>
            <w:tcBorders>
              <w:top w:val="nil"/>
              <w:left w:val="nil"/>
              <w:bottom w:val="nil"/>
              <w:right w:val="nil"/>
            </w:tcBorders>
            <w:shd w:val="clear" w:color="000000" w:fill="FFFFFF"/>
            <w:noWrap/>
            <w:vAlign w:val="center"/>
            <w:hideMark/>
          </w:tcPr>
          <w:p w14:paraId="4152CA1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-1.795*</w:t>
            </w:r>
          </w:p>
        </w:tc>
        <w:tc>
          <w:tcPr>
            <w:tcW w:w="0" w:type="auto"/>
            <w:tcBorders>
              <w:top w:val="nil"/>
              <w:left w:val="nil"/>
              <w:bottom w:val="nil"/>
              <w:right w:val="nil"/>
            </w:tcBorders>
            <w:shd w:val="clear" w:color="000000" w:fill="FFFFFF"/>
            <w:noWrap/>
            <w:vAlign w:val="center"/>
            <w:hideMark/>
          </w:tcPr>
          <w:p w14:paraId="2020D5C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-4.221***</w:t>
            </w:r>
          </w:p>
        </w:tc>
        <w:tc>
          <w:tcPr>
            <w:tcW w:w="0" w:type="auto"/>
            <w:tcBorders>
              <w:top w:val="nil"/>
              <w:left w:val="nil"/>
              <w:bottom w:val="nil"/>
              <w:right w:val="nil"/>
            </w:tcBorders>
            <w:shd w:val="clear" w:color="000000" w:fill="FFFFFF"/>
            <w:noWrap/>
            <w:vAlign w:val="center"/>
            <w:hideMark/>
          </w:tcPr>
          <w:p w14:paraId="26B667A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-33.01***</w:t>
            </w:r>
          </w:p>
        </w:tc>
        <w:tc>
          <w:tcPr>
            <w:tcW w:w="0" w:type="auto"/>
            <w:tcBorders>
              <w:top w:val="nil"/>
              <w:left w:val="nil"/>
              <w:bottom w:val="nil"/>
              <w:right w:val="nil"/>
            </w:tcBorders>
            <w:shd w:val="clear" w:color="000000" w:fill="FFFFFF"/>
            <w:noWrap/>
            <w:vAlign w:val="center"/>
            <w:hideMark/>
          </w:tcPr>
          <w:p w14:paraId="3EB306C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-1.989</w:t>
            </w:r>
          </w:p>
        </w:tc>
        <w:tc>
          <w:tcPr>
            <w:tcW w:w="0" w:type="auto"/>
            <w:tcBorders>
              <w:top w:val="nil"/>
              <w:left w:val="nil"/>
              <w:bottom w:val="nil"/>
              <w:right w:val="nil"/>
            </w:tcBorders>
            <w:shd w:val="clear" w:color="000000" w:fill="FFFFFF"/>
            <w:noWrap/>
            <w:vAlign w:val="center"/>
            <w:hideMark/>
          </w:tcPr>
          <w:p w14:paraId="7518A27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2.741***</w:t>
            </w:r>
          </w:p>
        </w:tc>
        <w:tc>
          <w:tcPr>
            <w:tcW w:w="0" w:type="auto"/>
            <w:tcBorders>
              <w:top w:val="nil"/>
              <w:left w:val="nil"/>
              <w:bottom w:val="nil"/>
              <w:right w:val="nil"/>
            </w:tcBorders>
            <w:shd w:val="clear" w:color="000000" w:fill="FFFFFF"/>
            <w:noWrap/>
            <w:vAlign w:val="center"/>
            <w:hideMark/>
          </w:tcPr>
          <w:p w14:paraId="4D1E823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196</w:t>
            </w:r>
          </w:p>
        </w:tc>
      </w:tr>
      <w:tr w:rsidR="009C67F2" w:rsidRPr="00935EAC" w14:paraId="6D77A2A3"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1732CC7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Guatemala</w:t>
            </w:r>
          </w:p>
        </w:tc>
        <w:tc>
          <w:tcPr>
            <w:tcW w:w="0" w:type="auto"/>
            <w:tcBorders>
              <w:top w:val="nil"/>
              <w:left w:val="nil"/>
              <w:bottom w:val="nil"/>
              <w:right w:val="nil"/>
            </w:tcBorders>
            <w:shd w:val="clear" w:color="000000" w:fill="FFFFFF"/>
            <w:noWrap/>
            <w:vAlign w:val="center"/>
            <w:hideMark/>
          </w:tcPr>
          <w:p w14:paraId="12DAAB2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-1.447</w:t>
            </w:r>
          </w:p>
        </w:tc>
        <w:tc>
          <w:tcPr>
            <w:tcW w:w="0" w:type="auto"/>
            <w:tcBorders>
              <w:top w:val="nil"/>
              <w:left w:val="nil"/>
              <w:bottom w:val="nil"/>
              <w:right w:val="nil"/>
            </w:tcBorders>
            <w:shd w:val="clear" w:color="000000" w:fill="FFFFFF"/>
            <w:noWrap/>
            <w:vAlign w:val="center"/>
            <w:hideMark/>
          </w:tcPr>
          <w:p w14:paraId="69E4BA4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-0.9584</w:t>
            </w:r>
          </w:p>
        </w:tc>
        <w:tc>
          <w:tcPr>
            <w:tcW w:w="0" w:type="auto"/>
            <w:tcBorders>
              <w:top w:val="nil"/>
              <w:left w:val="nil"/>
              <w:bottom w:val="nil"/>
              <w:right w:val="nil"/>
            </w:tcBorders>
            <w:shd w:val="clear" w:color="000000" w:fill="FFFFFF"/>
            <w:noWrap/>
            <w:vAlign w:val="center"/>
            <w:hideMark/>
          </w:tcPr>
          <w:p w14:paraId="06CC129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-6.212***</w:t>
            </w:r>
          </w:p>
        </w:tc>
        <w:tc>
          <w:tcPr>
            <w:tcW w:w="0" w:type="auto"/>
            <w:tcBorders>
              <w:top w:val="nil"/>
              <w:left w:val="nil"/>
              <w:bottom w:val="nil"/>
              <w:right w:val="nil"/>
            </w:tcBorders>
            <w:shd w:val="clear" w:color="000000" w:fill="FFFFFF"/>
            <w:noWrap/>
            <w:vAlign w:val="center"/>
            <w:hideMark/>
          </w:tcPr>
          <w:p w14:paraId="5DF1CC9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-60.91***</w:t>
            </w:r>
          </w:p>
        </w:tc>
        <w:tc>
          <w:tcPr>
            <w:tcW w:w="0" w:type="auto"/>
            <w:tcBorders>
              <w:top w:val="nil"/>
              <w:left w:val="nil"/>
              <w:bottom w:val="nil"/>
              <w:right w:val="nil"/>
            </w:tcBorders>
            <w:shd w:val="clear" w:color="000000" w:fill="FFFFFF"/>
            <w:noWrap/>
            <w:vAlign w:val="center"/>
            <w:hideMark/>
          </w:tcPr>
          <w:p w14:paraId="2041F33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-0.8012</w:t>
            </w:r>
          </w:p>
        </w:tc>
        <w:tc>
          <w:tcPr>
            <w:tcW w:w="0" w:type="auto"/>
            <w:tcBorders>
              <w:top w:val="nil"/>
              <w:left w:val="nil"/>
              <w:bottom w:val="nil"/>
              <w:right w:val="nil"/>
            </w:tcBorders>
            <w:shd w:val="clear" w:color="000000" w:fill="FFFFFF"/>
            <w:noWrap/>
            <w:vAlign w:val="center"/>
            <w:hideMark/>
          </w:tcPr>
          <w:p w14:paraId="1D1BD68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2.374***</w:t>
            </w:r>
          </w:p>
        </w:tc>
        <w:tc>
          <w:tcPr>
            <w:tcW w:w="0" w:type="auto"/>
            <w:tcBorders>
              <w:top w:val="nil"/>
              <w:left w:val="nil"/>
              <w:bottom w:val="nil"/>
              <w:right w:val="nil"/>
            </w:tcBorders>
            <w:shd w:val="clear" w:color="000000" w:fill="FFFFFF"/>
            <w:noWrap/>
            <w:vAlign w:val="center"/>
            <w:hideMark/>
          </w:tcPr>
          <w:p w14:paraId="5001BB3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173</w:t>
            </w:r>
          </w:p>
        </w:tc>
      </w:tr>
      <w:tr w:rsidR="009C67F2" w:rsidRPr="00935EAC" w14:paraId="1B10D5C2"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21A744D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Hong Kong</w:t>
            </w:r>
          </w:p>
        </w:tc>
        <w:tc>
          <w:tcPr>
            <w:tcW w:w="0" w:type="auto"/>
            <w:tcBorders>
              <w:top w:val="nil"/>
              <w:left w:val="nil"/>
              <w:bottom w:val="nil"/>
              <w:right w:val="nil"/>
            </w:tcBorders>
            <w:shd w:val="clear" w:color="000000" w:fill="FFFFFF"/>
            <w:noWrap/>
            <w:vAlign w:val="center"/>
            <w:hideMark/>
          </w:tcPr>
          <w:p w14:paraId="2909EA0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-0.9703</w:t>
            </w:r>
          </w:p>
        </w:tc>
        <w:tc>
          <w:tcPr>
            <w:tcW w:w="0" w:type="auto"/>
            <w:tcBorders>
              <w:top w:val="nil"/>
              <w:left w:val="nil"/>
              <w:bottom w:val="nil"/>
              <w:right w:val="nil"/>
            </w:tcBorders>
            <w:shd w:val="clear" w:color="000000" w:fill="FFFFFF"/>
            <w:noWrap/>
            <w:vAlign w:val="center"/>
            <w:hideMark/>
          </w:tcPr>
          <w:p w14:paraId="7C636E7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-0.9417</w:t>
            </w:r>
          </w:p>
        </w:tc>
        <w:tc>
          <w:tcPr>
            <w:tcW w:w="0" w:type="auto"/>
            <w:tcBorders>
              <w:top w:val="nil"/>
              <w:left w:val="nil"/>
              <w:bottom w:val="nil"/>
              <w:right w:val="nil"/>
            </w:tcBorders>
            <w:shd w:val="clear" w:color="000000" w:fill="FFFFFF"/>
            <w:noWrap/>
            <w:vAlign w:val="center"/>
            <w:hideMark/>
          </w:tcPr>
          <w:p w14:paraId="0D91FBB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-3.439**</w:t>
            </w:r>
          </w:p>
        </w:tc>
        <w:tc>
          <w:tcPr>
            <w:tcW w:w="0" w:type="auto"/>
            <w:tcBorders>
              <w:top w:val="nil"/>
              <w:left w:val="nil"/>
              <w:bottom w:val="nil"/>
              <w:right w:val="nil"/>
            </w:tcBorders>
            <w:shd w:val="clear" w:color="000000" w:fill="FFFFFF"/>
            <w:noWrap/>
            <w:vAlign w:val="center"/>
            <w:hideMark/>
          </w:tcPr>
          <w:p w14:paraId="34715FC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-22.08***</w:t>
            </w:r>
          </w:p>
        </w:tc>
        <w:tc>
          <w:tcPr>
            <w:tcW w:w="0" w:type="auto"/>
            <w:tcBorders>
              <w:top w:val="nil"/>
              <w:left w:val="nil"/>
              <w:bottom w:val="nil"/>
              <w:right w:val="nil"/>
            </w:tcBorders>
            <w:shd w:val="clear" w:color="000000" w:fill="FFFFFF"/>
            <w:noWrap/>
            <w:vAlign w:val="center"/>
            <w:hideMark/>
          </w:tcPr>
          <w:p w14:paraId="7C747B7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-1.486</w:t>
            </w:r>
          </w:p>
        </w:tc>
        <w:tc>
          <w:tcPr>
            <w:tcW w:w="0" w:type="auto"/>
            <w:tcBorders>
              <w:top w:val="nil"/>
              <w:left w:val="nil"/>
              <w:bottom w:val="nil"/>
              <w:right w:val="nil"/>
            </w:tcBorders>
            <w:shd w:val="clear" w:color="000000" w:fill="FFFFFF"/>
            <w:noWrap/>
            <w:vAlign w:val="center"/>
            <w:hideMark/>
          </w:tcPr>
          <w:p w14:paraId="1BB2193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2.36***</w:t>
            </w:r>
          </w:p>
        </w:tc>
        <w:tc>
          <w:tcPr>
            <w:tcW w:w="0" w:type="auto"/>
            <w:tcBorders>
              <w:top w:val="nil"/>
              <w:left w:val="nil"/>
              <w:bottom w:val="nil"/>
              <w:right w:val="nil"/>
            </w:tcBorders>
            <w:shd w:val="clear" w:color="000000" w:fill="FFFFFF"/>
            <w:noWrap/>
            <w:vAlign w:val="center"/>
            <w:hideMark/>
          </w:tcPr>
          <w:p w14:paraId="1A7F273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85</w:t>
            </w:r>
          </w:p>
        </w:tc>
      </w:tr>
      <w:tr w:rsidR="009C67F2" w:rsidRPr="00935EAC" w14:paraId="7368C601"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6FE5265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Hungary</w:t>
            </w:r>
          </w:p>
        </w:tc>
        <w:tc>
          <w:tcPr>
            <w:tcW w:w="0" w:type="auto"/>
            <w:tcBorders>
              <w:top w:val="nil"/>
              <w:left w:val="nil"/>
              <w:bottom w:val="nil"/>
              <w:right w:val="nil"/>
            </w:tcBorders>
            <w:shd w:val="clear" w:color="000000" w:fill="FFFFFF"/>
            <w:noWrap/>
            <w:vAlign w:val="center"/>
            <w:hideMark/>
          </w:tcPr>
          <w:p w14:paraId="44FD315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-2.335</w:t>
            </w:r>
          </w:p>
        </w:tc>
        <w:tc>
          <w:tcPr>
            <w:tcW w:w="0" w:type="auto"/>
            <w:tcBorders>
              <w:top w:val="nil"/>
              <w:left w:val="nil"/>
              <w:bottom w:val="nil"/>
              <w:right w:val="nil"/>
            </w:tcBorders>
            <w:shd w:val="clear" w:color="000000" w:fill="FFFFFF"/>
            <w:noWrap/>
            <w:vAlign w:val="center"/>
            <w:hideMark/>
          </w:tcPr>
          <w:p w14:paraId="405AF77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-1.711</w:t>
            </w:r>
          </w:p>
        </w:tc>
        <w:tc>
          <w:tcPr>
            <w:tcW w:w="0" w:type="auto"/>
            <w:tcBorders>
              <w:top w:val="nil"/>
              <w:left w:val="nil"/>
              <w:bottom w:val="nil"/>
              <w:right w:val="nil"/>
            </w:tcBorders>
            <w:shd w:val="clear" w:color="000000" w:fill="FFFFFF"/>
            <w:noWrap/>
            <w:vAlign w:val="center"/>
            <w:hideMark/>
          </w:tcPr>
          <w:p w14:paraId="7CD4DC7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-3.208**</w:t>
            </w:r>
          </w:p>
        </w:tc>
        <w:tc>
          <w:tcPr>
            <w:tcW w:w="0" w:type="auto"/>
            <w:tcBorders>
              <w:top w:val="nil"/>
              <w:left w:val="nil"/>
              <w:bottom w:val="nil"/>
              <w:right w:val="nil"/>
            </w:tcBorders>
            <w:shd w:val="clear" w:color="000000" w:fill="FFFFFF"/>
            <w:noWrap/>
            <w:vAlign w:val="center"/>
            <w:hideMark/>
          </w:tcPr>
          <w:p w14:paraId="0D1B60B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-19.37**</w:t>
            </w:r>
          </w:p>
        </w:tc>
        <w:tc>
          <w:tcPr>
            <w:tcW w:w="0" w:type="auto"/>
            <w:tcBorders>
              <w:top w:val="nil"/>
              <w:left w:val="nil"/>
              <w:bottom w:val="nil"/>
              <w:right w:val="nil"/>
            </w:tcBorders>
            <w:shd w:val="clear" w:color="000000" w:fill="FFFFFF"/>
            <w:noWrap/>
            <w:vAlign w:val="center"/>
            <w:hideMark/>
          </w:tcPr>
          <w:p w14:paraId="6E5ABE1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-2.374</w:t>
            </w:r>
          </w:p>
        </w:tc>
        <w:tc>
          <w:tcPr>
            <w:tcW w:w="0" w:type="auto"/>
            <w:tcBorders>
              <w:top w:val="nil"/>
              <w:left w:val="nil"/>
              <w:bottom w:val="nil"/>
              <w:right w:val="nil"/>
            </w:tcBorders>
            <w:shd w:val="clear" w:color="000000" w:fill="FFFFFF"/>
            <w:noWrap/>
            <w:vAlign w:val="center"/>
            <w:hideMark/>
          </w:tcPr>
          <w:p w14:paraId="2A3CA37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3.51***</w:t>
            </w:r>
          </w:p>
        </w:tc>
        <w:tc>
          <w:tcPr>
            <w:tcW w:w="0" w:type="auto"/>
            <w:tcBorders>
              <w:top w:val="nil"/>
              <w:left w:val="nil"/>
              <w:bottom w:val="nil"/>
              <w:right w:val="nil"/>
            </w:tcBorders>
            <w:shd w:val="clear" w:color="000000" w:fill="FFFFFF"/>
            <w:noWrap/>
            <w:vAlign w:val="center"/>
            <w:hideMark/>
          </w:tcPr>
          <w:p w14:paraId="735733B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141</w:t>
            </w:r>
          </w:p>
        </w:tc>
      </w:tr>
      <w:tr w:rsidR="009C67F2" w:rsidRPr="00935EAC" w14:paraId="4ED6474D"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1581076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Iceland</w:t>
            </w:r>
          </w:p>
        </w:tc>
        <w:tc>
          <w:tcPr>
            <w:tcW w:w="0" w:type="auto"/>
            <w:tcBorders>
              <w:top w:val="nil"/>
              <w:left w:val="nil"/>
              <w:bottom w:val="nil"/>
              <w:right w:val="nil"/>
            </w:tcBorders>
            <w:shd w:val="clear" w:color="000000" w:fill="FFFFFF"/>
            <w:noWrap/>
            <w:vAlign w:val="center"/>
            <w:hideMark/>
          </w:tcPr>
          <w:p w14:paraId="1204E73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-2.589*</w:t>
            </w:r>
          </w:p>
        </w:tc>
        <w:tc>
          <w:tcPr>
            <w:tcW w:w="0" w:type="auto"/>
            <w:tcBorders>
              <w:top w:val="nil"/>
              <w:left w:val="nil"/>
              <w:bottom w:val="nil"/>
              <w:right w:val="nil"/>
            </w:tcBorders>
            <w:shd w:val="clear" w:color="000000" w:fill="FFFFFF"/>
            <w:noWrap/>
            <w:vAlign w:val="center"/>
            <w:hideMark/>
          </w:tcPr>
          <w:p w14:paraId="6125D2D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-2.049**</w:t>
            </w:r>
          </w:p>
        </w:tc>
        <w:tc>
          <w:tcPr>
            <w:tcW w:w="0" w:type="auto"/>
            <w:tcBorders>
              <w:top w:val="nil"/>
              <w:left w:val="nil"/>
              <w:bottom w:val="nil"/>
              <w:right w:val="nil"/>
            </w:tcBorders>
            <w:shd w:val="clear" w:color="000000" w:fill="FFFFFF"/>
            <w:noWrap/>
            <w:vAlign w:val="center"/>
            <w:hideMark/>
          </w:tcPr>
          <w:p w14:paraId="031630A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-5.287***</w:t>
            </w:r>
          </w:p>
        </w:tc>
        <w:tc>
          <w:tcPr>
            <w:tcW w:w="0" w:type="auto"/>
            <w:tcBorders>
              <w:top w:val="nil"/>
              <w:left w:val="nil"/>
              <w:bottom w:val="nil"/>
              <w:right w:val="nil"/>
            </w:tcBorders>
            <w:shd w:val="clear" w:color="000000" w:fill="FFFFFF"/>
            <w:noWrap/>
            <w:vAlign w:val="center"/>
            <w:hideMark/>
          </w:tcPr>
          <w:p w14:paraId="0554AF5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-48.98***</w:t>
            </w:r>
          </w:p>
        </w:tc>
        <w:tc>
          <w:tcPr>
            <w:tcW w:w="0" w:type="auto"/>
            <w:tcBorders>
              <w:top w:val="nil"/>
              <w:left w:val="nil"/>
              <w:bottom w:val="nil"/>
              <w:right w:val="nil"/>
            </w:tcBorders>
            <w:shd w:val="clear" w:color="000000" w:fill="FFFFFF"/>
            <w:noWrap/>
            <w:vAlign w:val="center"/>
            <w:hideMark/>
          </w:tcPr>
          <w:p w14:paraId="1CD7531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-2.605</w:t>
            </w:r>
          </w:p>
        </w:tc>
        <w:tc>
          <w:tcPr>
            <w:tcW w:w="0" w:type="auto"/>
            <w:tcBorders>
              <w:top w:val="nil"/>
              <w:left w:val="nil"/>
              <w:bottom w:val="nil"/>
              <w:right w:val="nil"/>
            </w:tcBorders>
            <w:shd w:val="clear" w:color="000000" w:fill="FFFFFF"/>
            <w:noWrap/>
            <w:vAlign w:val="center"/>
            <w:hideMark/>
          </w:tcPr>
          <w:p w14:paraId="0B9B192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1.346***</w:t>
            </w:r>
          </w:p>
        </w:tc>
        <w:tc>
          <w:tcPr>
            <w:tcW w:w="0" w:type="auto"/>
            <w:tcBorders>
              <w:top w:val="nil"/>
              <w:left w:val="nil"/>
              <w:bottom w:val="nil"/>
              <w:right w:val="nil"/>
            </w:tcBorders>
            <w:shd w:val="clear" w:color="000000" w:fill="FFFFFF"/>
            <w:noWrap/>
            <w:vAlign w:val="center"/>
            <w:hideMark/>
          </w:tcPr>
          <w:p w14:paraId="581F964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196</w:t>
            </w:r>
          </w:p>
        </w:tc>
      </w:tr>
      <w:tr w:rsidR="009C67F2" w:rsidRPr="00935EAC" w14:paraId="7F70A6AF"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0D7A3B0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India</w:t>
            </w:r>
          </w:p>
        </w:tc>
        <w:tc>
          <w:tcPr>
            <w:tcW w:w="0" w:type="auto"/>
            <w:tcBorders>
              <w:top w:val="nil"/>
              <w:left w:val="nil"/>
              <w:bottom w:val="nil"/>
              <w:right w:val="nil"/>
            </w:tcBorders>
            <w:shd w:val="clear" w:color="000000" w:fill="FFFFFF"/>
            <w:noWrap/>
            <w:vAlign w:val="center"/>
            <w:hideMark/>
          </w:tcPr>
          <w:p w14:paraId="25373E2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-4.866***</w:t>
            </w:r>
          </w:p>
        </w:tc>
        <w:tc>
          <w:tcPr>
            <w:tcW w:w="0" w:type="auto"/>
            <w:tcBorders>
              <w:top w:val="nil"/>
              <w:left w:val="nil"/>
              <w:bottom w:val="nil"/>
              <w:right w:val="nil"/>
            </w:tcBorders>
            <w:shd w:val="clear" w:color="000000" w:fill="FFFFFF"/>
            <w:noWrap/>
            <w:vAlign w:val="center"/>
            <w:hideMark/>
          </w:tcPr>
          <w:p w14:paraId="53584A5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-4.335***</w:t>
            </w:r>
          </w:p>
        </w:tc>
        <w:tc>
          <w:tcPr>
            <w:tcW w:w="0" w:type="auto"/>
            <w:tcBorders>
              <w:top w:val="nil"/>
              <w:left w:val="nil"/>
              <w:bottom w:val="nil"/>
              <w:right w:val="nil"/>
            </w:tcBorders>
            <w:shd w:val="clear" w:color="000000" w:fill="FFFFFF"/>
            <w:noWrap/>
            <w:vAlign w:val="center"/>
            <w:hideMark/>
          </w:tcPr>
          <w:p w14:paraId="7D29B6B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-8.856***</w:t>
            </w:r>
          </w:p>
        </w:tc>
        <w:tc>
          <w:tcPr>
            <w:tcW w:w="0" w:type="auto"/>
            <w:tcBorders>
              <w:top w:val="nil"/>
              <w:left w:val="nil"/>
              <w:bottom w:val="nil"/>
              <w:right w:val="nil"/>
            </w:tcBorders>
            <w:shd w:val="clear" w:color="000000" w:fill="FFFFFF"/>
            <w:noWrap/>
            <w:vAlign w:val="center"/>
            <w:hideMark/>
          </w:tcPr>
          <w:p w14:paraId="445357A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-121***</w:t>
            </w:r>
          </w:p>
        </w:tc>
        <w:tc>
          <w:tcPr>
            <w:tcW w:w="0" w:type="auto"/>
            <w:tcBorders>
              <w:top w:val="nil"/>
              <w:left w:val="nil"/>
              <w:bottom w:val="nil"/>
              <w:right w:val="nil"/>
            </w:tcBorders>
            <w:shd w:val="clear" w:color="000000" w:fill="FFFFFF"/>
            <w:noWrap/>
            <w:vAlign w:val="center"/>
            <w:hideMark/>
          </w:tcPr>
          <w:p w14:paraId="4C56A57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-4.669***</w:t>
            </w:r>
          </w:p>
        </w:tc>
        <w:tc>
          <w:tcPr>
            <w:tcW w:w="0" w:type="auto"/>
            <w:tcBorders>
              <w:top w:val="nil"/>
              <w:left w:val="nil"/>
              <w:bottom w:val="nil"/>
              <w:right w:val="nil"/>
            </w:tcBorders>
            <w:shd w:val="clear" w:color="000000" w:fill="FFFFFF"/>
            <w:noWrap/>
            <w:vAlign w:val="center"/>
            <w:hideMark/>
          </w:tcPr>
          <w:p w14:paraId="3316B37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0.3936*</w:t>
            </w:r>
          </w:p>
        </w:tc>
        <w:tc>
          <w:tcPr>
            <w:tcW w:w="0" w:type="auto"/>
            <w:tcBorders>
              <w:top w:val="nil"/>
              <w:left w:val="nil"/>
              <w:bottom w:val="nil"/>
              <w:right w:val="nil"/>
            </w:tcBorders>
            <w:shd w:val="clear" w:color="000000" w:fill="FFFFFF"/>
            <w:noWrap/>
            <w:vAlign w:val="center"/>
            <w:hideMark/>
          </w:tcPr>
          <w:p w14:paraId="08F022B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260</w:t>
            </w:r>
          </w:p>
        </w:tc>
      </w:tr>
      <w:tr w:rsidR="009C67F2" w:rsidRPr="00935EAC" w14:paraId="45732752"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1FB7907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Indonesia</w:t>
            </w:r>
          </w:p>
        </w:tc>
        <w:tc>
          <w:tcPr>
            <w:tcW w:w="0" w:type="auto"/>
            <w:tcBorders>
              <w:top w:val="nil"/>
              <w:left w:val="nil"/>
              <w:bottom w:val="nil"/>
              <w:right w:val="nil"/>
            </w:tcBorders>
            <w:shd w:val="clear" w:color="000000" w:fill="FFFFFF"/>
            <w:noWrap/>
            <w:vAlign w:val="center"/>
            <w:hideMark/>
          </w:tcPr>
          <w:p w14:paraId="602E200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-2.677*</w:t>
            </w:r>
          </w:p>
        </w:tc>
        <w:tc>
          <w:tcPr>
            <w:tcW w:w="0" w:type="auto"/>
            <w:tcBorders>
              <w:top w:val="nil"/>
              <w:left w:val="nil"/>
              <w:bottom w:val="nil"/>
              <w:right w:val="nil"/>
            </w:tcBorders>
            <w:shd w:val="clear" w:color="000000" w:fill="FFFFFF"/>
            <w:noWrap/>
            <w:vAlign w:val="center"/>
            <w:hideMark/>
          </w:tcPr>
          <w:p w14:paraId="648FEE4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-1.838*</w:t>
            </w:r>
          </w:p>
        </w:tc>
        <w:tc>
          <w:tcPr>
            <w:tcW w:w="0" w:type="auto"/>
            <w:tcBorders>
              <w:top w:val="nil"/>
              <w:left w:val="nil"/>
              <w:bottom w:val="nil"/>
              <w:right w:val="nil"/>
            </w:tcBorders>
            <w:shd w:val="clear" w:color="000000" w:fill="FFFFFF"/>
            <w:noWrap/>
            <w:vAlign w:val="center"/>
            <w:hideMark/>
          </w:tcPr>
          <w:p w14:paraId="00B61BE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-4.071***</w:t>
            </w:r>
          </w:p>
        </w:tc>
        <w:tc>
          <w:tcPr>
            <w:tcW w:w="0" w:type="auto"/>
            <w:tcBorders>
              <w:top w:val="nil"/>
              <w:left w:val="nil"/>
              <w:bottom w:val="nil"/>
              <w:right w:val="nil"/>
            </w:tcBorders>
            <w:shd w:val="clear" w:color="000000" w:fill="FFFFFF"/>
            <w:noWrap/>
            <w:vAlign w:val="center"/>
            <w:hideMark/>
          </w:tcPr>
          <w:p w14:paraId="6559202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-30.06***</w:t>
            </w:r>
          </w:p>
        </w:tc>
        <w:tc>
          <w:tcPr>
            <w:tcW w:w="0" w:type="auto"/>
            <w:tcBorders>
              <w:top w:val="nil"/>
              <w:left w:val="nil"/>
              <w:bottom w:val="nil"/>
              <w:right w:val="nil"/>
            </w:tcBorders>
            <w:shd w:val="clear" w:color="000000" w:fill="FFFFFF"/>
            <w:noWrap/>
            <w:vAlign w:val="center"/>
            <w:hideMark/>
          </w:tcPr>
          <w:p w14:paraId="2733F4C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-2.473</w:t>
            </w:r>
          </w:p>
        </w:tc>
        <w:tc>
          <w:tcPr>
            <w:tcW w:w="0" w:type="auto"/>
            <w:tcBorders>
              <w:top w:val="nil"/>
              <w:left w:val="nil"/>
              <w:bottom w:val="nil"/>
              <w:right w:val="nil"/>
            </w:tcBorders>
            <w:shd w:val="clear" w:color="000000" w:fill="FFFFFF"/>
            <w:noWrap/>
            <w:vAlign w:val="center"/>
            <w:hideMark/>
          </w:tcPr>
          <w:p w14:paraId="0F415AF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2.717***</w:t>
            </w:r>
          </w:p>
        </w:tc>
        <w:tc>
          <w:tcPr>
            <w:tcW w:w="0" w:type="auto"/>
            <w:tcBorders>
              <w:top w:val="nil"/>
              <w:left w:val="nil"/>
              <w:bottom w:val="nil"/>
              <w:right w:val="nil"/>
            </w:tcBorders>
            <w:shd w:val="clear" w:color="000000" w:fill="FFFFFF"/>
            <w:noWrap/>
            <w:vAlign w:val="center"/>
            <w:hideMark/>
          </w:tcPr>
          <w:p w14:paraId="594BA12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176</w:t>
            </w:r>
          </w:p>
        </w:tc>
      </w:tr>
      <w:tr w:rsidR="009C67F2" w:rsidRPr="00935EAC" w14:paraId="5711E70E"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6DB844C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Ireland</w:t>
            </w:r>
          </w:p>
        </w:tc>
        <w:tc>
          <w:tcPr>
            <w:tcW w:w="0" w:type="auto"/>
            <w:tcBorders>
              <w:top w:val="nil"/>
              <w:left w:val="nil"/>
              <w:bottom w:val="nil"/>
              <w:right w:val="nil"/>
            </w:tcBorders>
            <w:shd w:val="clear" w:color="000000" w:fill="FFFFFF"/>
            <w:noWrap/>
            <w:vAlign w:val="center"/>
            <w:hideMark/>
          </w:tcPr>
          <w:p w14:paraId="5134B91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-4.491***</w:t>
            </w:r>
          </w:p>
        </w:tc>
        <w:tc>
          <w:tcPr>
            <w:tcW w:w="0" w:type="auto"/>
            <w:tcBorders>
              <w:top w:val="nil"/>
              <w:left w:val="nil"/>
              <w:bottom w:val="nil"/>
              <w:right w:val="nil"/>
            </w:tcBorders>
            <w:shd w:val="clear" w:color="000000" w:fill="FFFFFF"/>
            <w:noWrap/>
            <w:vAlign w:val="center"/>
            <w:hideMark/>
          </w:tcPr>
          <w:p w14:paraId="6EADF6A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-3.943***</w:t>
            </w:r>
          </w:p>
        </w:tc>
        <w:tc>
          <w:tcPr>
            <w:tcW w:w="0" w:type="auto"/>
            <w:tcBorders>
              <w:top w:val="nil"/>
              <w:left w:val="nil"/>
              <w:bottom w:val="nil"/>
              <w:right w:val="nil"/>
            </w:tcBorders>
            <w:shd w:val="clear" w:color="000000" w:fill="FFFFFF"/>
            <w:noWrap/>
            <w:vAlign w:val="center"/>
            <w:hideMark/>
          </w:tcPr>
          <w:p w14:paraId="22DD620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-8.283***</w:t>
            </w:r>
          </w:p>
        </w:tc>
        <w:tc>
          <w:tcPr>
            <w:tcW w:w="0" w:type="auto"/>
            <w:tcBorders>
              <w:top w:val="nil"/>
              <w:left w:val="nil"/>
              <w:bottom w:val="nil"/>
              <w:right w:val="nil"/>
            </w:tcBorders>
            <w:shd w:val="clear" w:color="000000" w:fill="FFFFFF"/>
            <w:noWrap/>
            <w:vAlign w:val="center"/>
            <w:hideMark/>
          </w:tcPr>
          <w:p w14:paraId="22077BD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-94.44***</w:t>
            </w:r>
          </w:p>
        </w:tc>
        <w:tc>
          <w:tcPr>
            <w:tcW w:w="0" w:type="auto"/>
            <w:tcBorders>
              <w:top w:val="nil"/>
              <w:left w:val="nil"/>
              <w:bottom w:val="nil"/>
              <w:right w:val="nil"/>
            </w:tcBorders>
            <w:shd w:val="clear" w:color="000000" w:fill="FFFFFF"/>
            <w:noWrap/>
            <w:vAlign w:val="center"/>
            <w:hideMark/>
          </w:tcPr>
          <w:p w14:paraId="1426CF4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-4.158***</w:t>
            </w:r>
          </w:p>
        </w:tc>
        <w:tc>
          <w:tcPr>
            <w:tcW w:w="0" w:type="auto"/>
            <w:tcBorders>
              <w:top w:val="nil"/>
              <w:left w:val="nil"/>
              <w:bottom w:val="nil"/>
              <w:right w:val="nil"/>
            </w:tcBorders>
            <w:shd w:val="clear" w:color="000000" w:fill="FFFFFF"/>
            <w:noWrap/>
            <w:vAlign w:val="center"/>
            <w:hideMark/>
          </w:tcPr>
          <w:p w14:paraId="2FE9DCE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0.4282*</w:t>
            </w:r>
          </w:p>
        </w:tc>
        <w:tc>
          <w:tcPr>
            <w:tcW w:w="0" w:type="auto"/>
            <w:tcBorders>
              <w:top w:val="nil"/>
              <w:left w:val="nil"/>
              <w:bottom w:val="nil"/>
              <w:right w:val="nil"/>
            </w:tcBorders>
            <w:shd w:val="clear" w:color="000000" w:fill="FFFFFF"/>
            <w:noWrap/>
            <w:vAlign w:val="center"/>
            <w:hideMark/>
          </w:tcPr>
          <w:p w14:paraId="39CBB60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140</w:t>
            </w:r>
          </w:p>
        </w:tc>
      </w:tr>
      <w:tr w:rsidR="009C67F2" w:rsidRPr="00935EAC" w14:paraId="6336162A"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64D9E1B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Israel</w:t>
            </w:r>
          </w:p>
        </w:tc>
        <w:tc>
          <w:tcPr>
            <w:tcW w:w="0" w:type="auto"/>
            <w:tcBorders>
              <w:top w:val="nil"/>
              <w:left w:val="nil"/>
              <w:bottom w:val="nil"/>
              <w:right w:val="nil"/>
            </w:tcBorders>
            <w:shd w:val="clear" w:color="000000" w:fill="FFFFFF"/>
            <w:noWrap/>
            <w:vAlign w:val="center"/>
            <w:hideMark/>
          </w:tcPr>
          <w:p w14:paraId="15B6382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-2.876**</w:t>
            </w:r>
          </w:p>
        </w:tc>
        <w:tc>
          <w:tcPr>
            <w:tcW w:w="0" w:type="auto"/>
            <w:tcBorders>
              <w:top w:val="nil"/>
              <w:left w:val="nil"/>
              <w:bottom w:val="nil"/>
              <w:right w:val="nil"/>
            </w:tcBorders>
            <w:shd w:val="clear" w:color="000000" w:fill="FFFFFF"/>
            <w:noWrap/>
            <w:vAlign w:val="center"/>
            <w:hideMark/>
          </w:tcPr>
          <w:p w14:paraId="0A95DD6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-2.835***</w:t>
            </w:r>
          </w:p>
        </w:tc>
        <w:tc>
          <w:tcPr>
            <w:tcW w:w="0" w:type="auto"/>
            <w:tcBorders>
              <w:top w:val="nil"/>
              <w:left w:val="nil"/>
              <w:bottom w:val="nil"/>
              <w:right w:val="nil"/>
            </w:tcBorders>
            <w:shd w:val="clear" w:color="000000" w:fill="FFFFFF"/>
            <w:noWrap/>
            <w:vAlign w:val="center"/>
            <w:hideMark/>
          </w:tcPr>
          <w:p w14:paraId="325AB39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-5.709***</w:t>
            </w:r>
          </w:p>
        </w:tc>
        <w:tc>
          <w:tcPr>
            <w:tcW w:w="0" w:type="auto"/>
            <w:tcBorders>
              <w:top w:val="nil"/>
              <w:left w:val="nil"/>
              <w:bottom w:val="nil"/>
              <w:right w:val="nil"/>
            </w:tcBorders>
            <w:shd w:val="clear" w:color="000000" w:fill="FFFFFF"/>
            <w:noWrap/>
            <w:vAlign w:val="center"/>
            <w:hideMark/>
          </w:tcPr>
          <w:p w14:paraId="5CA7C00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-57.1***</w:t>
            </w:r>
          </w:p>
        </w:tc>
        <w:tc>
          <w:tcPr>
            <w:tcW w:w="0" w:type="auto"/>
            <w:tcBorders>
              <w:top w:val="nil"/>
              <w:left w:val="nil"/>
              <w:bottom w:val="nil"/>
              <w:right w:val="nil"/>
            </w:tcBorders>
            <w:shd w:val="clear" w:color="000000" w:fill="FFFFFF"/>
            <w:noWrap/>
            <w:vAlign w:val="center"/>
            <w:hideMark/>
          </w:tcPr>
          <w:p w14:paraId="2A7DC9A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-3.551***</w:t>
            </w:r>
          </w:p>
        </w:tc>
        <w:tc>
          <w:tcPr>
            <w:tcW w:w="0" w:type="auto"/>
            <w:tcBorders>
              <w:top w:val="nil"/>
              <w:left w:val="nil"/>
              <w:bottom w:val="nil"/>
              <w:right w:val="nil"/>
            </w:tcBorders>
            <w:shd w:val="clear" w:color="000000" w:fill="FFFFFF"/>
            <w:noWrap/>
            <w:vAlign w:val="center"/>
            <w:hideMark/>
          </w:tcPr>
          <w:p w14:paraId="36AD8C4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10.66***</w:t>
            </w:r>
          </w:p>
        </w:tc>
        <w:tc>
          <w:tcPr>
            <w:tcW w:w="0" w:type="auto"/>
            <w:tcBorders>
              <w:top w:val="nil"/>
              <w:left w:val="nil"/>
              <w:bottom w:val="nil"/>
              <w:right w:val="nil"/>
            </w:tcBorders>
            <w:shd w:val="clear" w:color="000000" w:fill="FFFFFF"/>
            <w:noWrap/>
            <w:vAlign w:val="center"/>
            <w:hideMark/>
          </w:tcPr>
          <w:p w14:paraId="3AEAF7E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212</w:t>
            </w:r>
          </w:p>
        </w:tc>
      </w:tr>
      <w:tr w:rsidR="009C67F2" w:rsidRPr="00935EAC" w14:paraId="45E27446"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2CFD25A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Italy</w:t>
            </w:r>
          </w:p>
        </w:tc>
        <w:tc>
          <w:tcPr>
            <w:tcW w:w="0" w:type="auto"/>
            <w:tcBorders>
              <w:top w:val="nil"/>
              <w:left w:val="nil"/>
              <w:bottom w:val="nil"/>
              <w:right w:val="nil"/>
            </w:tcBorders>
            <w:shd w:val="clear" w:color="000000" w:fill="FFFFFF"/>
            <w:noWrap/>
            <w:vAlign w:val="center"/>
            <w:hideMark/>
          </w:tcPr>
          <w:p w14:paraId="069A035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-3.127**</w:t>
            </w:r>
          </w:p>
        </w:tc>
        <w:tc>
          <w:tcPr>
            <w:tcW w:w="0" w:type="auto"/>
            <w:tcBorders>
              <w:top w:val="nil"/>
              <w:left w:val="nil"/>
              <w:bottom w:val="nil"/>
              <w:right w:val="nil"/>
            </w:tcBorders>
            <w:shd w:val="clear" w:color="000000" w:fill="FFFFFF"/>
            <w:noWrap/>
            <w:vAlign w:val="center"/>
            <w:hideMark/>
          </w:tcPr>
          <w:p w14:paraId="5D7FA0C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-2.845***</w:t>
            </w:r>
          </w:p>
        </w:tc>
        <w:tc>
          <w:tcPr>
            <w:tcW w:w="0" w:type="auto"/>
            <w:tcBorders>
              <w:top w:val="nil"/>
              <w:left w:val="nil"/>
              <w:bottom w:val="nil"/>
              <w:right w:val="nil"/>
            </w:tcBorders>
            <w:shd w:val="clear" w:color="000000" w:fill="FFFFFF"/>
            <w:noWrap/>
            <w:vAlign w:val="center"/>
            <w:hideMark/>
          </w:tcPr>
          <w:p w14:paraId="044819F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-3.616***</w:t>
            </w:r>
          </w:p>
        </w:tc>
        <w:tc>
          <w:tcPr>
            <w:tcW w:w="0" w:type="auto"/>
            <w:tcBorders>
              <w:top w:val="nil"/>
              <w:left w:val="nil"/>
              <w:bottom w:val="nil"/>
              <w:right w:val="nil"/>
            </w:tcBorders>
            <w:shd w:val="clear" w:color="000000" w:fill="FFFFFF"/>
            <w:noWrap/>
            <w:vAlign w:val="center"/>
            <w:hideMark/>
          </w:tcPr>
          <w:p w14:paraId="5D199FA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-25.2***</w:t>
            </w:r>
          </w:p>
        </w:tc>
        <w:tc>
          <w:tcPr>
            <w:tcW w:w="0" w:type="auto"/>
            <w:tcBorders>
              <w:top w:val="nil"/>
              <w:left w:val="nil"/>
              <w:bottom w:val="nil"/>
              <w:right w:val="nil"/>
            </w:tcBorders>
            <w:shd w:val="clear" w:color="000000" w:fill="FFFFFF"/>
            <w:noWrap/>
            <w:vAlign w:val="center"/>
            <w:hideMark/>
          </w:tcPr>
          <w:p w14:paraId="3B0EB1F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-3.389**</w:t>
            </w:r>
          </w:p>
        </w:tc>
        <w:tc>
          <w:tcPr>
            <w:tcW w:w="0" w:type="auto"/>
            <w:tcBorders>
              <w:top w:val="nil"/>
              <w:left w:val="nil"/>
              <w:bottom w:val="nil"/>
              <w:right w:val="nil"/>
            </w:tcBorders>
            <w:shd w:val="clear" w:color="000000" w:fill="FFFFFF"/>
            <w:noWrap/>
            <w:vAlign w:val="center"/>
            <w:hideMark/>
          </w:tcPr>
          <w:p w14:paraId="3DCE4AF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1.69***</w:t>
            </w:r>
          </w:p>
        </w:tc>
        <w:tc>
          <w:tcPr>
            <w:tcW w:w="0" w:type="auto"/>
            <w:tcBorders>
              <w:top w:val="nil"/>
              <w:left w:val="nil"/>
              <w:bottom w:val="nil"/>
              <w:right w:val="nil"/>
            </w:tcBorders>
            <w:shd w:val="clear" w:color="000000" w:fill="FFFFFF"/>
            <w:noWrap/>
            <w:vAlign w:val="center"/>
            <w:hideMark/>
          </w:tcPr>
          <w:p w14:paraId="2E1DBCD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220</w:t>
            </w:r>
          </w:p>
        </w:tc>
      </w:tr>
      <w:tr w:rsidR="009C67F2" w:rsidRPr="00935EAC" w14:paraId="542FE983"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1B93780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Japan</w:t>
            </w:r>
          </w:p>
        </w:tc>
        <w:tc>
          <w:tcPr>
            <w:tcW w:w="0" w:type="auto"/>
            <w:tcBorders>
              <w:top w:val="nil"/>
              <w:left w:val="nil"/>
              <w:bottom w:val="nil"/>
              <w:right w:val="nil"/>
            </w:tcBorders>
            <w:shd w:val="clear" w:color="000000" w:fill="FFFFFF"/>
            <w:noWrap/>
            <w:vAlign w:val="center"/>
            <w:hideMark/>
          </w:tcPr>
          <w:p w14:paraId="03713D4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-2.806*</w:t>
            </w:r>
          </w:p>
        </w:tc>
        <w:tc>
          <w:tcPr>
            <w:tcW w:w="0" w:type="auto"/>
            <w:tcBorders>
              <w:top w:val="nil"/>
              <w:left w:val="nil"/>
              <w:bottom w:val="nil"/>
              <w:right w:val="nil"/>
            </w:tcBorders>
            <w:shd w:val="clear" w:color="000000" w:fill="FFFFFF"/>
            <w:noWrap/>
            <w:vAlign w:val="center"/>
            <w:hideMark/>
          </w:tcPr>
          <w:p w14:paraId="2A497DC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-1.72*</w:t>
            </w:r>
          </w:p>
        </w:tc>
        <w:tc>
          <w:tcPr>
            <w:tcW w:w="0" w:type="auto"/>
            <w:tcBorders>
              <w:top w:val="nil"/>
              <w:left w:val="nil"/>
              <w:bottom w:val="nil"/>
              <w:right w:val="nil"/>
            </w:tcBorders>
            <w:shd w:val="clear" w:color="000000" w:fill="FFFFFF"/>
            <w:noWrap/>
            <w:vAlign w:val="center"/>
            <w:hideMark/>
          </w:tcPr>
          <w:p w14:paraId="606A133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-2.806*</w:t>
            </w:r>
          </w:p>
        </w:tc>
        <w:tc>
          <w:tcPr>
            <w:tcW w:w="0" w:type="auto"/>
            <w:tcBorders>
              <w:top w:val="nil"/>
              <w:left w:val="nil"/>
              <w:bottom w:val="nil"/>
              <w:right w:val="nil"/>
            </w:tcBorders>
            <w:shd w:val="clear" w:color="000000" w:fill="FFFFFF"/>
            <w:noWrap/>
            <w:vAlign w:val="center"/>
            <w:hideMark/>
          </w:tcPr>
          <w:p w14:paraId="6070882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-16.2**</w:t>
            </w:r>
          </w:p>
        </w:tc>
        <w:tc>
          <w:tcPr>
            <w:tcW w:w="0" w:type="auto"/>
            <w:tcBorders>
              <w:top w:val="nil"/>
              <w:left w:val="nil"/>
              <w:bottom w:val="nil"/>
              <w:right w:val="nil"/>
            </w:tcBorders>
            <w:shd w:val="clear" w:color="000000" w:fill="FFFFFF"/>
            <w:noWrap/>
            <w:vAlign w:val="center"/>
            <w:hideMark/>
          </w:tcPr>
          <w:p w14:paraId="582482E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-3.7***</w:t>
            </w:r>
          </w:p>
        </w:tc>
        <w:tc>
          <w:tcPr>
            <w:tcW w:w="0" w:type="auto"/>
            <w:tcBorders>
              <w:top w:val="nil"/>
              <w:left w:val="nil"/>
              <w:bottom w:val="nil"/>
              <w:right w:val="nil"/>
            </w:tcBorders>
            <w:shd w:val="clear" w:color="000000" w:fill="FFFFFF"/>
            <w:noWrap/>
            <w:vAlign w:val="center"/>
            <w:hideMark/>
          </w:tcPr>
          <w:p w14:paraId="0BBEDB5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4.137***</w:t>
            </w:r>
          </w:p>
        </w:tc>
        <w:tc>
          <w:tcPr>
            <w:tcW w:w="0" w:type="auto"/>
            <w:tcBorders>
              <w:top w:val="nil"/>
              <w:left w:val="nil"/>
              <w:bottom w:val="nil"/>
              <w:right w:val="nil"/>
            </w:tcBorders>
            <w:shd w:val="clear" w:color="000000" w:fill="FFFFFF"/>
            <w:noWrap/>
            <w:vAlign w:val="center"/>
            <w:hideMark/>
          </w:tcPr>
          <w:p w14:paraId="33F1896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193</w:t>
            </w:r>
          </w:p>
        </w:tc>
      </w:tr>
      <w:tr w:rsidR="009C67F2" w:rsidRPr="00935EAC" w14:paraId="275DD57A"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4D1E24E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Kazakhstan</w:t>
            </w:r>
          </w:p>
        </w:tc>
        <w:tc>
          <w:tcPr>
            <w:tcW w:w="0" w:type="auto"/>
            <w:tcBorders>
              <w:top w:val="nil"/>
              <w:left w:val="nil"/>
              <w:bottom w:val="nil"/>
              <w:right w:val="nil"/>
            </w:tcBorders>
            <w:shd w:val="clear" w:color="000000" w:fill="FFFFFF"/>
            <w:noWrap/>
            <w:vAlign w:val="center"/>
            <w:hideMark/>
          </w:tcPr>
          <w:p w14:paraId="187B65E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-2.934**</w:t>
            </w:r>
          </w:p>
        </w:tc>
        <w:tc>
          <w:tcPr>
            <w:tcW w:w="0" w:type="auto"/>
            <w:tcBorders>
              <w:top w:val="nil"/>
              <w:left w:val="nil"/>
              <w:bottom w:val="nil"/>
              <w:right w:val="nil"/>
            </w:tcBorders>
            <w:shd w:val="clear" w:color="000000" w:fill="FFFFFF"/>
            <w:noWrap/>
            <w:vAlign w:val="center"/>
            <w:hideMark/>
          </w:tcPr>
          <w:p w14:paraId="51000AA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-1.348</w:t>
            </w:r>
          </w:p>
        </w:tc>
        <w:tc>
          <w:tcPr>
            <w:tcW w:w="0" w:type="auto"/>
            <w:tcBorders>
              <w:top w:val="nil"/>
              <w:left w:val="nil"/>
              <w:bottom w:val="nil"/>
              <w:right w:val="nil"/>
            </w:tcBorders>
            <w:shd w:val="clear" w:color="000000" w:fill="FFFFFF"/>
            <w:noWrap/>
            <w:vAlign w:val="center"/>
            <w:hideMark/>
          </w:tcPr>
          <w:p w14:paraId="09A699E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-5.197***</w:t>
            </w:r>
          </w:p>
        </w:tc>
        <w:tc>
          <w:tcPr>
            <w:tcW w:w="0" w:type="auto"/>
            <w:tcBorders>
              <w:top w:val="nil"/>
              <w:left w:val="nil"/>
              <w:bottom w:val="nil"/>
              <w:right w:val="nil"/>
            </w:tcBorders>
            <w:shd w:val="clear" w:color="000000" w:fill="FFFFFF"/>
            <w:noWrap/>
            <w:vAlign w:val="center"/>
            <w:hideMark/>
          </w:tcPr>
          <w:p w14:paraId="576B84A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-42.62***</w:t>
            </w:r>
          </w:p>
        </w:tc>
        <w:tc>
          <w:tcPr>
            <w:tcW w:w="0" w:type="auto"/>
            <w:tcBorders>
              <w:top w:val="nil"/>
              <w:left w:val="nil"/>
              <w:bottom w:val="nil"/>
              <w:right w:val="nil"/>
            </w:tcBorders>
            <w:shd w:val="clear" w:color="000000" w:fill="FFFFFF"/>
            <w:noWrap/>
            <w:vAlign w:val="center"/>
            <w:hideMark/>
          </w:tcPr>
          <w:p w14:paraId="52CC713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-1.918</w:t>
            </w:r>
          </w:p>
        </w:tc>
        <w:tc>
          <w:tcPr>
            <w:tcW w:w="0" w:type="auto"/>
            <w:tcBorders>
              <w:top w:val="nil"/>
              <w:left w:val="nil"/>
              <w:bottom w:val="nil"/>
              <w:right w:val="nil"/>
            </w:tcBorders>
            <w:shd w:val="clear" w:color="000000" w:fill="FFFFFF"/>
            <w:noWrap/>
            <w:vAlign w:val="center"/>
            <w:hideMark/>
          </w:tcPr>
          <w:p w14:paraId="08209C4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0.3832*</w:t>
            </w:r>
          </w:p>
        </w:tc>
        <w:tc>
          <w:tcPr>
            <w:tcW w:w="0" w:type="auto"/>
            <w:tcBorders>
              <w:top w:val="nil"/>
              <w:left w:val="nil"/>
              <w:bottom w:val="nil"/>
              <w:right w:val="nil"/>
            </w:tcBorders>
            <w:shd w:val="clear" w:color="000000" w:fill="FFFFFF"/>
            <w:noWrap/>
            <w:vAlign w:val="center"/>
            <w:hideMark/>
          </w:tcPr>
          <w:p w14:paraId="66174FD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101</w:t>
            </w:r>
          </w:p>
        </w:tc>
      </w:tr>
      <w:tr w:rsidR="009C67F2" w:rsidRPr="00935EAC" w14:paraId="14C60FE9"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55D366E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Korea Rep.</w:t>
            </w:r>
          </w:p>
        </w:tc>
        <w:tc>
          <w:tcPr>
            <w:tcW w:w="0" w:type="auto"/>
            <w:tcBorders>
              <w:top w:val="nil"/>
              <w:left w:val="nil"/>
              <w:bottom w:val="nil"/>
              <w:right w:val="nil"/>
            </w:tcBorders>
            <w:shd w:val="clear" w:color="000000" w:fill="FFFFFF"/>
            <w:noWrap/>
            <w:vAlign w:val="center"/>
            <w:hideMark/>
          </w:tcPr>
          <w:p w14:paraId="2A1FDE5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-2.212</w:t>
            </w:r>
          </w:p>
        </w:tc>
        <w:tc>
          <w:tcPr>
            <w:tcW w:w="0" w:type="auto"/>
            <w:tcBorders>
              <w:top w:val="nil"/>
              <w:left w:val="nil"/>
              <w:bottom w:val="nil"/>
              <w:right w:val="nil"/>
            </w:tcBorders>
            <w:shd w:val="clear" w:color="000000" w:fill="FFFFFF"/>
            <w:noWrap/>
            <w:vAlign w:val="center"/>
            <w:hideMark/>
          </w:tcPr>
          <w:p w14:paraId="23A0DC4A" w14:textId="3052E9BD"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 xml:space="preserve">-0.9189      </w:t>
            </w:r>
          </w:p>
        </w:tc>
        <w:tc>
          <w:tcPr>
            <w:tcW w:w="0" w:type="auto"/>
            <w:tcBorders>
              <w:top w:val="nil"/>
              <w:left w:val="nil"/>
              <w:bottom w:val="nil"/>
              <w:right w:val="nil"/>
            </w:tcBorders>
            <w:shd w:val="clear" w:color="000000" w:fill="FFFFFF"/>
            <w:noWrap/>
            <w:vAlign w:val="center"/>
            <w:hideMark/>
          </w:tcPr>
          <w:p w14:paraId="6D2FB6F5" w14:textId="77DDD624"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 xml:space="preserve">3.505***      </w:t>
            </w:r>
          </w:p>
        </w:tc>
        <w:tc>
          <w:tcPr>
            <w:tcW w:w="0" w:type="auto"/>
            <w:tcBorders>
              <w:top w:val="nil"/>
              <w:left w:val="nil"/>
              <w:bottom w:val="nil"/>
              <w:right w:val="nil"/>
            </w:tcBorders>
            <w:shd w:val="clear" w:color="000000" w:fill="FFFFFF"/>
            <w:noWrap/>
            <w:vAlign w:val="center"/>
            <w:hideMark/>
          </w:tcPr>
          <w:p w14:paraId="5A8AB80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22.34***</w:t>
            </w:r>
          </w:p>
        </w:tc>
        <w:tc>
          <w:tcPr>
            <w:tcW w:w="0" w:type="auto"/>
            <w:tcBorders>
              <w:top w:val="nil"/>
              <w:left w:val="nil"/>
              <w:bottom w:val="nil"/>
              <w:right w:val="nil"/>
            </w:tcBorders>
            <w:shd w:val="clear" w:color="000000" w:fill="FFFFFF"/>
            <w:noWrap/>
            <w:vAlign w:val="center"/>
            <w:hideMark/>
          </w:tcPr>
          <w:p w14:paraId="16C3F66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-3.34**</w:t>
            </w:r>
          </w:p>
        </w:tc>
        <w:tc>
          <w:tcPr>
            <w:tcW w:w="0" w:type="auto"/>
            <w:tcBorders>
              <w:top w:val="nil"/>
              <w:left w:val="nil"/>
              <w:bottom w:val="nil"/>
              <w:right w:val="nil"/>
            </w:tcBorders>
            <w:shd w:val="clear" w:color="000000" w:fill="FFFFFF"/>
            <w:noWrap/>
            <w:vAlign w:val="center"/>
            <w:hideMark/>
          </w:tcPr>
          <w:p w14:paraId="76CFECC2" w14:textId="146D2528"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 xml:space="preserve">7.382***            </w:t>
            </w:r>
          </w:p>
        </w:tc>
        <w:tc>
          <w:tcPr>
            <w:tcW w:w="0" w:type="auto"/>
            <w:tcBorders>
              <w:top w:val="nil"/>
              <w:left w:val="nil"/>
              <w:bottom w:val="nil"/>
              <w:right w:val="nil"/>
            </w:tcBorders>
            <w:shd w:val="clear" w:color="000000" w:fill="FFFFFF"/>
            <w:noWrap/>
            <w:vAlign w:val="center"/>
            <w:hideMark/>
          </w:tcPr>
          <w:p w14:paraId="21BAC28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96</w:t>
            </w:r>
          </w:p>
        </w:tc>
      </w:tr>
      <w:tr w:rsidR="009C67F2" w:rsidRPr="00935EAC" w14:paraId="7324736C"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0D5D271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Kyrgyz Republic</w:t>
            </w:r>
          </w:p>
        </w:tc>
        <w:tc>
          <w:tcPr>
            <w:tcW w:w="0" w:type="auto"/>
            <w:tcBorders>
              <w:top w:val="nil"/>
              <w:left w:val="nil"/>
              <w:bottom w:val="nil"/>
              <w:right w:val="nil"/>
            </w:tcBorders>
            <w:shd w:val="clear" w:color="000000" w:fill="FFFFFF"/>
            <w:noWrap/>
            <w:vAlign w:val="center"/>
            <w:hideMark/>
          </w:tcPr>
          <w:p w14:paraId="49B0DE0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-5.938***</w:t>
            </w:r>
          </w:p>
        </w:tc>
        <w:tc>
          <w:tcPr>
            <w:tcW w:w="0" w:type="auto"/>
            <w:tcBorders>
              <w:top w:val="nil"/>
              <w:left w:val="nil"/>
              <w:bottom w:val="nil"/>
              <w:right w:val="nil"/>
            </w:tcBorders>
            <w:shd w:val="clear" w:color="000000" w:fill="FFFFFF"/>
            <w:noWrap/>
            <w:vAlign w:val="center"/>
            <w:hideMark/>
          </w:tcPr>
          <w:p w14:paraId="2143132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-5.483***</w:t>
            </w:r>
          </w:p>
        </w:tc>
        <w:tc>
          <w:tcPr>
            <w:tcW w:w="0" w:type="auto"/>
            <w:tcBorders>
              <w:top w:val="nil"/>
              <w:left w:val="nil"/>
              <w:bottom w:val="nil"/>
              <w:right w:val="nil"/>
            </w:tcBorders>
            <w:shd w:val="clear" w:color="000000" w:fill="FFFFFF"/>
            <w:noWrap/>
            <w:vAlign w:val="center"/>
            <w:hideMark/>
          </w:tcPr>
          <w:p w14:paraId="2543949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-5.938***</w:t>
            </w:r>
          </w:p>
        </w:tc>
        <w:tc>
          <w:tcPr>
            <w:tcW w:w="0" w:type="auto"/>
            <w:tcBorders>
              <w:top w:val="nil"/>
              <w:left w:val="nil"/>
              <w:bottom w:val="nil"/>
              <w:right w:val="nil"/>
            </w:tcBorders>
            <w:shd w:val="clear" w:color="000000" w:fill="FFFFFF"/>
            <w:noWrap/>
            <w:vAlign w:val="center"/>
            <w:hideMark/>
          </w:tcPr>
          <w:p w14:paraId="2CA9412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-57.53***</w:t>
            </w:r>
          </w:p>
        </w:tc>
        <w:tc>
          <w:tcPr>
            <w:tcW w:w="0" w:type="auto"/>
            <w:tcBorders>
              <w:top w:val="nil"/>
              <w:left w:val="nil"/>
              <w:bottom w:val="nil"/>
              <w:right w:val="nil"/>
            </w:tcBorders>
            <w:shd w:val="clear" w:color="000000" w:fill="FFFFFF"/>
            <w:noWrap/>
            <w:vAlign w:val="center"/>
            <w:hideMark/>
          </w:tcPr>
          <w:p w14:paraId="7434264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-1.627</w:t>
            </w:r>
          </w:p>
        </w:tc>
        <w:tc>
          <w:tcPr>
            <w:tcW w:w="0" w:type="auto"/>
            <w:tcBorders>
              <w:top w:val="nil"/>
              <w:left w:val="nil"/>
              <w:bottom w:val="nil"/>
              <w:right w:val="nil"/>
            </w:tcBorders>
            <w:shd w:val="clear" w:color="000000" w:fill="FFFFFF"/>
            <w:noWrap/>
            <w:vAlign w:val="center"/>
            <w:hideMark/>
          </w:tcPr>
          <w:p w14:paraId="0FADD18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0.221</w:t>
            </w:r>
          </w:p>
        </w:tc>
        <w:tc>
          <w:tcPr>
            <w:tcW w:w="0" w:type="auto"/>
            <w:tcBorders>
              <w:top w:val="nil"/>
              <w:left w:val="nil"/>
              <w:bottom w:val="nil"/>
              <w:right w:val="nil"/>
            </w:tcBorders>
            <w:shd w:val="clear" w:color="000000" w:fill="FFFFFF"/>
            <w:noWrap/>
            <w:vAlign w:val="center"/>
            <w:hideMark/>
          </w:tcPr>
          <w:p w14:paraId="1A4C109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116</w:t>
            </w:r>
          </w:p>
        </w:tc>
      </w:tr>
      <w:tr w:rsidR="009C67F2" w:rsidRPr="00935EAC" w14:paraId="462968A9"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586CF3E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Latvia</w:t>
            </w:r>
          </w:p>
        </w:tc>
        <w:tc>
          <w:tcPr>
            <w:tcW w:w="0" w:type="auto"/>
            <w:tcBorders>
              <w:top w:val="nil"/>
              <w:left w:val="nil"/>
              <w:bottom w:val="nil"/>
              <w:right w:val="nil"/>
            </w:tcBorders>
            <w:shd w:val="clear" w:color="000000" w:fill="FFFFFF"/>
            <w:noWrap/>
            <w:vAlign w:val="center"/>
            <w:hideMark/>
          </w:tcPr>
          <w:p w14:paraId="66D53CD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-3.382**</w:t>
            </w:r>
          </w:p>
        </w:tc>
        <w:tc>
          <w:tcPr>
            <w:tcW w:w="0" w:type="auto"/>
            <w:tcBorders>
              <w:top w:val="nil"/>
              <w:left w:val="nil"/>
              <w:bottom w:val="nil"/>
              <w:right w:val="nil"/>
            </w:tcBorders>
            <w:shd w:val="clear" w:color="000000" w:fill="FFFFFF"/>
            <w:noWrap/>
            <w:vAlign w:val="center"/>
            <w:hideMark/>
          </w:tcPr>
          <w:p w14:paraId="1D8B8A6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-0.8074</w:t>
            </w:r>
          </w:p>
        </w:tc>
        <w:tc>
          <w:tcPr>
            <w:tcW w:w="0" w:type="auto"/>
            <w:tcBorders>
              <w:top w:val="nil"/>
              <w:left w:val="nil"/>
              <w:bottom w:val="nil"/>
              <w:right w:val="nil"/>
            </w:tcBorders>
            <w:shd w:val="clear" w:color="000000" w:fill="FFFFFF"/>
            <w:noWrap/>
            <w:vAlign w:val="center"/>
            <w:hideMark/>
          </w:tcPr>
          <w:p w14:paraId="0D494EC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-3.829***</w:t>
            </w:r>
          </w:p>
        </w:tc>
        <w:tc>
          <w:tcPr>
            <w:tcW w:w="0" w:type="auto"/>
            <w:tcBorders>
              <w:top w:val="nil"/>
              <w:left w:val="nil"/>
              <w:bottom w:val="nil"/>
              <w:right w:val="nil"/>
            </w:tcBorders>
            <w:shd w:val="clear" w:color="000000" w:fill="FFFFFF"/>
            <w:noWrap/>
            <w:vAlign w:val="center"/>
            <w:hideMark/>
          </w:tcPr>
          <w:p w14:paraId="506045C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-16.63**</w:t>
            </w:r>
          </w:p>
        </w:tc>
        <w:tc>
          <w:tcPr>
            <w:tcW w:w="0" w:type="auto"/>
            <w:tcBorders>
              <w:top w:val="nil"/>
              <w:left w:val="nil"/>
              <w:bottom w:val="nil"/>
              <w:right w:val="nil"/>
            </w:tcBorders>
            <w:shd w:val="clear" w:color="000000" w:fill="FFFFFF"/>
            <w:noWrap/>
            <w:vAlign w:val="center"/>
            <w:hideMark/>
          </w:tcPr>
          <w:p w14:paraId="18624F3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-1.488</w:t>
            </w:r>
          </w:p>
        </w:tc>
        <w:tc>
          <w:tcPr>
            <w:tcW w:w="0" w:type="auto"/>
            <w:tcBorders>
              <w:top w:val="nil"/>
              <w:left w:val="nil"/>
              <w:bottom w:val="nil"/>
              <w:right w:val="nil"/>
            </w:tcBorders>
            <w:shd w:val="clear" w:color="000000" w:fill="FFFFFF"/>
            <w:noWrap/>
            <w:vAlign w:val="center"/>
            <w:hideMark/>
          </w:tcPr>
          <w:p w14:paraId="0E86D6D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1.186***</w:t>
            </w:r>
          </w:p>
        </w:tc>
        <w:tc>
          <w:tcPr>
            <w:tcW w:w="0" w:type="auto"/>
            <w:tcBorders>
              <w:top w:val="nil"/>
              <w:left w:val="nil"/>
              <w:bottom w:val="nil"/>
              <w:right w:val="nil"/>
            </w:tcBorders>
            <w:shd w:val="clear" w:color="000000" w:fill="FFFFFF"/>
            <w:noWrap/>
            <w:vAlign w:val="center"/>
            <w:hideMark/>
          </w:tcPr>
          <w:p w14:paraId="65ECBD5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128</w:t>
            </w:r>
          </w:p>
        </w:tc>
      </w:tr>
      <w:tr w:rsidR="009C67F2" w:rsidRPr="00935EAC" w14:paraId="70191192"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3DA0E6F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Lithuania</w:t>
            </w:r>
          </w:p>
        </w:tc>
        <w:tc>
          <w:tcPr>
            <w:tcW w:w="0" w:type="auto"/>
            <w:tcBorders>
              <w:top w:val="nil"/>
              <w:left w:val="nil"/>
              <w:bottom w:val="nil"/>
              <w:right w:val="nil"/>
            </w:tcBorders>
            <w:shd w:val="clear" w:color="000000" w:fill="FFFFFF"/>
            <w:noWrap/>
            <w:vAlign w:val="center"/>
            <w:hideMark/>
          </w:tcPr>
          <w:p w14:paraId="60CAA90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-1.809</w:t>
            </w:r>
          </w:p>
        </w:tc>
        <w:tc>
          <w:tcPr>
            <w:tcW w:w="0" w:type="auto"/>
            <w:tcBorders>
              <w:top w:val="nil"/>
              <w:left w:val="nil"/>
              <w:bottom w:val="nil"/>
              <w:right w:val="nil"/>
            </w:tcBorders>
            <w:shd w:val="clear" w:color="000000" w:fill="FFFFFF"/>
            <w:noWrap/>
            <w:vAlign w:val="center"/>
            <w:hideMark/>
          </w:tcPr>
          <w:p w14:paraId="59C3CDC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-1.33</w:t>
            </w:r>
          </w:p>
        </w:tc>
        <w:tc>
          <w:tcPr>
            <w:tcW w:w="0" w:type="auto"/>
            <w:tcBorders>
              <w:top w:val="nil"/>
              <w:left w:val="nil"/>
              <w:bottom w:val="nil"/>
              <w:right w:val="nil"/>
            </w:tcBorders>
            <w:shd w:val="clear" w:color="000000" w:fill="FFFFFF"/>
            <w:noWrap/>
            <w:vAlign w:val="center"/>
            <w:hideMark/>
          </w:tcPr>
          <w:p w14:paraId="47B95F3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-3.467***</w:t>
            </w:r>
          </w:p>
        </w:tc>
        <w:tc>
          <w:tcPr>
            <w:tcW w:w="0" w:type="auto"/>
            <w:tcBorders>
              <w:top w:val="nil"/>
              <w:left w:val="nil"/>
              <w:bottom w:val="nil"/>
              <w:right w:val="nil"/>
            </w:tcBorders>
            <w:shd w:val="clear" w:color="000000" w:fill="FFFFFF"/>
            <w:noWrap/>
            <w:vAlign w:val="center"/>
            <w:hideMark/>
          </w:tcPr>
          <w:p w14:paraId="2D87D09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-21.11***</w:t>
            </w:r>
          </w:p>
        </w:tc>
        <w:tc>
          <w:tcPr>
            <w:tcW w:w="0" w:type="auto"/>
            <w:tcBorders>
              <w:top w:val="nil"/>
              <w:left w:val="nil"/>
              <w:bottom w:val="nil"/>
              <w:right w:val="nil"/>
            </w:tcBorders>
            <w:shd w:val="clear" w:color="000000" w:fill="FFFFFF"/>
            <w:noWrap/>
            <w:vAlign w:val="center"/>
            <w:hideMark/>
          </w:tcPr>
          <w:p w14:paraId="4E59655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-1.491</w:t>
            </w:r>
          </w:p>
        </w:tc>
        <w:tc>
          <w:tcPr>
            <w:tcW w:w="0" w:type="auto"/>
            <w:tcBorders>
              <w:top w:val="nil"/>
              <w:left w:val="nil"/>
              <w:bottom w:val="nil"/>
              <w:right w:val="nil"/>
            </w:tcBorders>
            <w:shd w:val="clear" w:color="000000" w:fill="FFFFFF"/>
            <w:noWrap/>
            <w:vAlign w:val="center"/>
            <w:hideMark/>
          </w:tcPr>
          <w:p w14:paraId="56911DC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5.41***</w:t>
            </w:r>
          </w:p>
        </w:tc>
        <w:tc>
          <w:tcPr>
            <w:tcW w:w="0" w:type="auto"/>
            <w:tcBorders>
              <w:top w:val="nil"/>
              <w:left w:val="nil"/>
              <w:bottom w:val="nil"/>
              <w:right w:val="nil"/>
            </w:tcBorders>
            <w:shd w:val="clear" w:color="000000" w:fill="FFFFFF"/>
            <w:noWrap/>
            <w:vAlign w:val="center"/>
            <w:hideMark/>
          </w:tcPr>
          <w:p w14:paraId="182F77F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128</w:t>
            </w:r>
          </w:p>
        </w:tc>
      </w:tr>
      <w:tr w:rsidR="009C67F2" w:rsidRPr="00935EAC" w14:paraId="3F937746"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0CC3F0A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Luxembourg</w:t>
            </w:r>
          </w:p>
        </w:tc>
        <w:tc>
          <w:tcPr>
            <w:tcW w:w="0" w:type="auto"/>
            <w:tcBorders>
              <w:top w:val="nil"/>
              <w:left w:val="nil"/>
              <w:bottom w:val="nil"/>
              <w:right w:val="nil"/>
            </w:tcBorders>
            <w:shd w:val="clear" w:color="000000" w:fill="FFFFFF"/>
            <w:noWrap/>
            <w:vAlign w:val="center"/>
            <w:hideMark/>
          </w:tcPr>
          <w:p w14:paraId="53F3C54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-2.13</w:t>
            </w:r>
          </w:p>
        </w:tc>
        <w:tc>
          <w:tcPr>
            <w:tcW w:w="0" w:type="auto"/>
            <w:tcBorders>
              <w:top w:val="nil"/>
              <w:left w:val="nil"/>
              <w:bottom w:val="nil"/>
              <w:right w:val="nil"/>
            </w:tcBorders>
            <w:shd w:val="clear" w:color="000000" w:fill="FFFFFF"/>
            <w:noWrap/>
            <w:vAlign w:val="center"/>
            <w:hideMark/>
          </w:tcPr>
          <w:p w14:paraId="49E41EB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-0.7588</w:t>
            </w:r>
          </w:p>
        </w:tc>
        <w:tc>
          <w:tcPr>
            <w:tcW w:w="0" w:type="auto"/>
            <w:tcBorders>
              <w:top w:val="nil"/>
              <w:left w:val="nil"/>
              <w:bottom w:val="nil"/>
              <w:right w:val="nil"/>
            </w:tcBorders>
            <w:shd w:val="clear" w:color="000000" w:fill="FFFFFF"/>
            <w:noWrap/>
            <w:vAlign w:val="center"/>
            <w:hideMark/>
          </w:tcPr>
          <w:p w14:paraId="4F7C32B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-10.05***</w:t>
            </w:r>
          </w:p>
        </w:tc>
        <w:tc>
          <w:tcPr>
            <w:tcW w:w="0" w:type="auto"/>
            <w:tcBorders>
              <w:top w:val="nil"/>
              <w:left w:val="nil"/>
              <w:bottom w:val="nil"/>
              <w:right w:val="nil"/>
            </w:tcBorders>
            <w:shd w:val="clear" w:color="000000" w:fill="FFFFFF"/>
            <w:noWrap/>
            <w:vAlign w:val="center"/>
            <w:hideMark/>
          </w:tcPr>
          <w:p w14:paraId="6AB2928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-109.7***</w:t>
            </w:r>
          </w:p>
        </w:tc>
        <w:tc>
          <w:tcPr>
            <w:tcW w:w="0" w:type="auto"/>
            <w:tcBorders>
              <w:top w:val="nil"/>
              <w:left w:val="nil"/>
              <w:bottom w:val="nil"/>
              <w:right w:val="nil"/>
            </w:tcBorders>
            <w:shd w:val="clear" w:color="000000" w:fill="FFFFFF"/>
            <w:noWrap/>
            <w:vAlign w:val="center"/>
            <w:hideMark/>
          </w:tcPr>
          <w:p w14:paraId="5FAD705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-1.348</w:t>
            </w:r>
          </w:p>
        </w:tc>
        <w:tc>
          <w:tcPr>
            <w:tcW w:w="0" w:type="auto"/>
            <w:tcBorders>
              <w:top w:val="nil"/>
              <w:left w:val="nil"/>
              <w:bottom w:val="nil"/>
              <w:right w:val="nil"/>
            </w:tcBorders>
            <w:shd w:val="clear" w:color="000000" w:fill="FFFFFF"/>
            <w:noWrap/>
            <w:vAlign w:val="center"/>
            <w:hideMark/>
          </w:tcPr>
          <w:p w14:paraId="1BBC4F4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0.3593*</w:t>
            </w:r>
          </w:p>
        </w:tc>
        <w:tc>
          <w:tcPr>
            <w:tcW w:w="0" w:type="auto"/>
            <w:tcBorders>
              <w:top w:val="nil"/>
              <w:left w:val="nil"/>
              <w:bottom w:val="nil"/>
              <w:right w:val="nil"/>
            </w:tcBorders>
            <w:shd w:val="clear" w:color="000000" w:fill="FFFFFF"/>
            <w:noWrap/>
            <w:vAlign w:val="center"/>
            <w:hideMark/>
          </w:tcPr>
          <w:p w14:paraId="223AA9D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120</w:t>
            </w:r>
          </w:p>
        </w:tc>
      </w:tr>
      <w:tr w:rsidR="009C67F2" w:rsidRPr="00935EAC" w14:paraId="626AA97E"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1753992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Macedonia FYR</w:t>
            </w:r>
          </w:p>
        </w:tc>
        <w:tc>
          <w:tcPr>
            <w:tcW w:w="0" w:type="auto"/>
            <w:tcBorders>
              <w:top w:val="nil"/>
              <w:left w:val="nil"/>
              <w:bottom w:val="nil"/>
              <w:right w:val="nil"/>
            </w:tcBorders>
            <w:shd w:val="clear" w:color="000000" w:fill="FFFFFF"/>
            <w:noWrap/>
            <w:vAlign w:val="center"/>
            <w:hideMark/>
          </w:tcPr>
          <w:p w14:paraId="7D27A6D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-3.998***</w:t>
            </w:r>
          </w:p>
        </w:tc>
        <w:tc>
          <w:tcPr>
            <w:tcW w:w="0" w:type="auto"/>
            <w:tcBorders>
              <w:top w:val="nil"/>
              <w:left w:val="nil"/>
              <w:bottom w:val="nil"/>
              <w:right w:val="nil"/>
            </w:tcBorders>
            <w:shd w:val="clear" w:color="000000" w:fill="FFFFFF"/>
            <w:noWrap/>
            <w:vAlign w:val="center"/>
            <w:hideMark/>
          </w:tcPr>
          <w:p w14:paraId="753863F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-1.107</w:t>
            </w:r>
          </w:p>
        </w:tc>
        <w:tc>
          <w:tcPr>
            <w:tcW w:w="0" w:type="auto"/>
            <w:tcBorders>
              <w:top w:val="nil"/>
              <w:left w:val="nil"/>
              <w:bottom w:val="nil"/>
              <w:right w:val="nil"/>
            </w:tcBorders>
            <w:shd w:val="clear" w:color="000000" w:fill="FFFFFF"/>
            <w:noWrap/>
            <w:vAlign w:val="center"/>
            <w:hideMark/>
          </w:tcPr>
          <w:p w14:paraId="0F60D1A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-6.049***</w:t>
            </w:r>
          </w:p>
        </w:tc>
        <w:tc>
          <w:tcPr>
            <w:tcW w:w="0" w:type="auto"/>
            <w:tcBorders>
              <w:top w:val="nil"/>
              <w:left w:val="nil"/>
              <w:bottom w:val="nil"/>
              <w:right w:val="nil"/>
            </w:tcBorders>
            <w:shd w:val="clear" w:color="000000" w:fill="FFFFFF"/>
            <w:noWrap/>
            <w:vAlign w:val="center"/>
            <w:hideMark/>
          </w:tcPr>
          <w:p w14:paraId="1058C1E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-42.88***</w:t>
            </w:r>
          </w:p>
        </w:tc>
        <w:tc>
          <w:tcPr>
            <w:tcW w:w="0" w:type="auto"/>
            <w:tcBorders>
              <w:top w:val="nil"/>
              <w:left w:val="nil"/>
              <w:bottom w:val="nil"/>
              <w:right w:val="nil"/>
            </w:tcBorders>
            <w:shd w:val="clear" w:color="000000" w:fill="FFFFFF"/>
            <w:noWrap/>
            <w:vAlign w:val="center"/>
            <w:hideMark/>
          </w:tcPr>
          <w:p w14:paraId="3814600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-2.616</w:t>
            </w:r>
          </w:p>
        </w:tc>
        <w:tc>
          <w:tcPr>
            <w:tcW w:w="0" w:type="auto"/>
            <w:tcBorders>
              <w:top w:val="nil"/>
              <w:left w:val="nil"/>
              <w:bottom w:val="nil"/>
              <w:right w:val="nil"/>
            </w:tcBorders>
            <w:shd w:val="clear" w:color="000000" w:fill="FFFFFF"/>
            <w:noWrap/>
            <w:vAlign w:val="center"/>
            <w:hideMark/>
          </w:tcPr>
          <w:p w14:paraId="00B5294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0.1025</w:t>
            </w:r>
          </w:p>
        </w:tc>
        <w:tc>
          <w:tcPr>
            <w:tcW w:w="0" w:type="auto"/>
            <w:tcBorders>
              <w:top w:val="nil"/>
              <w:left w:val="nil"/>
              <w:bottom w:val="nil"/>
              <w:right w:val="nil"/>
            </w:tcBorders>
            <w:shd w:val="clear" w:color="000000" w:fill="FFFFFF"/>
            <w:noWrap/>
            <w:vAlign w:val="center"/>
            <w:hideMark/>
          </w:tcPr>
          <w:p w14:paraId="40FDC49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55</w:t>
            </w:r>
          </w:p>
        </w:tc>
      </w:tr>
      <w:tr w:rsidR="009C67F2" w:rsidRPr="00935EAC" w14:paraId="1A0D4787"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30F542A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Malaysia</w:t>
            </w:r>
          </w:p>
        </w:tc>
        <w:tc>
          <w:tcPr>
            <w:tcW w:w="0" w:type="auto"/>
            <w:tcBorders>
              <w:top w:val="nil"/>
              <w:left w:val="nil"/>
              <w:bottom w:val="nil"/>
              <w:right w:val="nil"/>
            </w:tcBorders>
            <w:shd w:val="clear" w:color="000000" w:fill="FFFFFF"/>
            <w:noWrap/>
            <w:vAlign w:val="center"/>
            <w:hideMark/>
          </w:tcPr>
          <w:p w14:paraId="4C09FDF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-1.058</w:t>
            </w:r>
          </w:p>
        </w:tc>
        <w:tc>
          <w:tcPr>
            <w:tcW w:w="0" w:type="auto"/>
            <w:tcBorders>
              <w:top w:val="nil"/>
              <w:left w:val="nil"/>
              <w:bottom w:val="nil"/>
              <w:right w:val="nil"/>
            </w:tcBorders>
            <w:shd w:val="clear" w:color="000000" w:fill="FFFFFF"/>
            <w:noWrap/>
            <w:vAlign w:val="center"/>
            <w:hideMark/>
          </w:tcPr>
          <w:p w14:paraId="3661DB8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-0.7198</w:t>
            </w:r>
          </w:p>
        </w:tc>
        <w:tc>
          <w:tcPr>
            <w:tcW w:w="0" w:type="auto"/>
            <w:tcBorders>
              <w:top w:val="nil"/>
              <w:left w:val="nil"/>
              <w:bottom w:val="nil"/>
              <w:right w:val="nil"/>
            </w:tcBorders>
            <w:shd w:val="clear" w:color="000000" w:fill="FFFFFF"/>
            <w:noWrap/>
            <w:vAlign w:val="center"/>
            <w:hideMark/>
          </w:tcPr>
          <w:p w14:paraId="632EC2B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-1.46</w:t>
            </w:r>
          </w:p>
        </w:tc>
        <w:tc>
          <w:tcPr>
            <w:tcW w:w="0" w:type="auto"/>
            <w:tcBorders>
              <w:top w:val="nil"/>
              <w:left w:val="nil"/>
              <w:bottom w:val="nil"/>
              <w:right w:val="nil"/>
            </w:tcBorders>
            <w:shd w:val="clear" w:color="000000" w:fill="FFFFFF"/>
            <w:noWrap/>
            <w:vAlign w:val="center"/>
            <w:hideMark/>
          </w:tcPr>
          <w:p w14:paraId="13F10B6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-4.213</w:t>
            </w:r>
          </w:p>
        </w:tc>
        <w:tc>
          <w:tcPr>
            <w:tcW w:w="0" w:type="auto"/>
            <w:tcBorders>
              <w:top w:val="nil"/>
              <w:left w:val="nil"/>
              <w:bottom w:val="nil"/>
              <w:right w:val="nil"/>
            </w:tcBorders>
            <w:shd w:val="clear" w:color="000000" w:fill="FFFFFF"/>
            <w:noWrap/>
            <w:vAlign w:val="center"/>
            <w:hideMark/>
          </w:tcPr>
          <w:p w14:paraId="214F19E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-2.558</w:t>
            </w:r>
          </w:p>
        </w:tc>
        <w:tc>
          <w:tcPr>
            <w:tcW w:w="0" w:type="auto"/>
            <w:tcBorders>
              <w:top w:val="nil"/>
              <w:left w:val="nil"/>
              <w:bottom w:val="nil"/>
              <w:right w:val="nil"/>
            </w:tcBorders>
            <w:shd w:val="clear" w:color="000000" w:fill="FFFFFF"/>
            <w:noWrap/>
            <w:vAlign w:val="center"/>
            <w:hideMark/>
          </w:tcPr>
          <w:p w14:paraId="72A08DB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4.603***</w:t>
            </w:r>
          </w:p>
        </w:tc>
        <w:tc>
          <w:tcPr>
            <w:tcW w:w="0" w:type="auto"/>
            <w:tcBorders>
              <w:top w:val="nil"/>
              <w:left w:val="nil"/>
              <w:bottom w:val="nil"/>
              <w:right w:val="nil"/>
            </w:tcBorders>
            <w:shd w:val="clear" w:color="000000" w:fill="FFFFFF"/>
            <w:noWrap/>
            <w:vAlign w:val="center"/>
            <w:hideMark/>
          </w:tcPr>
          <w:p w14:paraId="1468F86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85</w:t>
            </w:r>
          </w:p>
        </w:tc>
      </w:tr>
      <w:tr w:rsidR="009C67F2" w:rsidRPr="00935EAC" w14:paraId="15EDC65D"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0A7DD8E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Malta</w:t>
            </w:r>
          </w:p>
        </w:tc>
        <w:tc>
          <w:tcPr>
            <w:tcW w:w="0" w:type="auto"/>
            <w:tcBorders>
              <w:top w:val="nil"/>
              <w:left w:val="nil"/>
              <w:bottom w:val="nil"/>
              <w:right w:val="nil"/>
            </w:tcBorders>
            <w:shd w:val="clear" w:color="000000" w:fill="FFFFFF"/>
            <w:noWrap/>
            <w:vAlign w:val="center"/>
            <w:hideMark/>
          </w:tcPr>
          <w:p w14:paraId="18F75EC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-1.931</w:t>
            </w:r>
          </w:p>
        </w:tc>
        <w:tc>
          <w:tcPr>
            <w:tcW w:w="0" w:type="auto"/>
            <w:tcBorders>
              <w:top w:val="nil"/>
              <w:left w:val="nil"/>
              <w:bottom w:val="nil"/>
              <w:right w:val="nil"/>
            </w:tcBorders>
            <w:shd w:val="clear" w:color="000000" w:fill="FFFFFF"/>
            <w:noWrap/>
            <w:vAlign w:val="center"/>
            <w:hideMark/>
          </w:tcPr>
          <w:p w14:paraId="64FCB77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-1.815</w:t>
            </w:r>
          </w:p>
        </w:tc>
        <w:tc>
          <w:tcPr>
            <w:tcW w:w="0" w:type="auto"/>
            <w:tcBorders>
              <w:top w:val="nil"/>
              <w:left w:val="nil"/>
              <w:bottom w:val="nil"/>
              <w:right w:val="nil"/>
            </w:tcBorders>
            <w:shd w:val="clear" w:color="000000" w:fill="FFFFFF"/>
            <w:noWrap/>
            <w:vAlign w:val="center"/>
            <w:hideMark/>
          </w:tcPr>
          <w:p w14:paraId="4E18082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-2.795*</w:t>
            </w:r>
          </w:p>
        </w:tc>
        <w:tc>
          <w:tcPr>
            <w:tcW w:w="0" w:type="auto"/>
            <w:tcBorders>
              <w:top w:val="nil"/>
              <w:left w:val="nil"/>
              <w:bottom w:val="nil"/>
              <w:right w:val="nil"/>
            </w:tcBorders>
            <w:shd w:val="clear" w:color="000000" w:fill="FFFFFF"/>
            <w:noWrap/>
            <w:vAlign w:val="center"/>
            <w:hideMark/>
          </w:tcPr>
          <w:p w14:paraId="0AFDC6E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-14.55**</w:t>
            </w:r>
          </w:p>
        </w:tc>
        <w:tc>
          <w:tcPr>
            <w:tcW w:w="0" w:type="auto"/>
            <w:tcBorders>
              <w:top w:val="nil"/>
              <w:left w:val="nil"/>
              <w:bottom w:val="nil"/>
              <w:right w:val="nil"/>
            </w:tcBorders>
            <w:shd w:val="clear" w:color="000000" w:fill="FFFFFF"/>
            <w:noWrap/>
            <w:vAlign w:val="center"/>
            <w:hideMark/>
          </w:tcPr>
          <w:p w14:paraId="44C3E2E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-2.143</w:t>
            </w:r>
          </w:p>
        </w:tc>
        <w:tc>
          <w:tcPr>
            <w:tcW w:w="0" w:type="auto"/>
            <w:tcBorders>
              <w:top w:val="nil"/>
              <w:left w:val="nil"/>
              <w:bottom w:val="nil"/>
              <w:right w:val="nil"/>
            </w:tcBorders>
            <w:shd w:val="clear" w:color="000000" w:fill="FFFFFF"/>
            <w:noWrap/>
            <w:vAlign w:val="center"/>
            <w:hideMark/>
          </w:tcPr>
          <w:p w14:paraId="29E5B6F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4.559***</w:t>
            </w:r>
          </w:p>
        </w:tc>
        <w:tc>
          <w:tcPr>
            <w:tcW w:w="0" w:type="auto"/>
            <w:tcBorders>
              <w:top w:val="nil"/>
              <w:left w:val="nil"/>
              <w:bottom w:val="nil"/>
              <w:right w:val="nil"/>
            </w:tcBorders>
            <w:shd w:val="clear" w:color="000000" w:fill="FFFFFF"/>
            <w:noWrap/>
            <w:vAlign w:val="center"/>
            <w:hideMark/>
          </w:tcPr>
          <w:p w14:paraId="6CA8771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83</w:t>
            </w:r>
          </w:p>
        </w:tc>
      </w:tr>
      <w:tr w:rsidR="009C67F2" w:rsidRPr="00935EAC" w14:paraId="07892876"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5DDF8DF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Mauritius</w:t>
            </w:r>
          </w:p>
        </w:tc>
        <w:tc>
          <w:tcPr>
            <w:tcW w:w="0" w:type="auto"/>
            <w:tcBorders>
              <w:top w:val="nil"/>
              <w:left w:val="nil"/>
              <w:bottom w:val="nil"/>
              <w:right w:val="nil"/>
            </w:tcBorders>
            <w:shd w:val="clear" w:color="000000" w:fill="FFFFFF"/>
            <w:noWrap/>
            <w:vAlign w:val="center"/>
            <w:hideMark/>
          </w:tcPr>
          <w:p w14:paraId="64560EB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-1.596</w:t>
            </w:r>
          </w:p>
        </w:tc>
        <w:tc>
          <w:tcPr>
            <w:tcW w:w="0" w:type="auto"/>
            <w:tcBorders>
              <w:top w:val="nil"/>
              <w:left w:val="nil"/>
              <w:bottom w:val="nil"/>
              <w:right w:val="nil"/>
            </w:tcBorders>
            <w:shd w:val="clear" w:color="000000" w:fill="FFFFFF"/>
            <w:noWrap/>
            <w:vAlign w:val="center"/>
            <w:hideMark/>
          </w:tcPr>
          <w:p w14:paraId="547EDE4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-1.295</w:t>
            </w:r>
          </w:p>
        </w:tc>
        <w:tc>
          <w:tcPr>
            <w:tcW w:w="0" w:type="auto"/>
            <w:tcBorders>
              <w:top w:val="nil"/>
              <w:left w:val="nil"/>
              <w:bottom w:val="nil"/>
              <w:right w:val="nil"/>
            </w:tcBorders>
            <w:shd w:val="clear" w:color="000000" w:fill="FFFFFF"/>
            <w:noWrap/>
            <w:vAlign w:val="center"/>
            <w:hideMark/>
          </w:tcPr>
          <w:p w14:paraId="2222A0F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-2.961**</w:t>
            </w:r>
          </w:p>
        </w:tc>
        <w:tc>
          <w:tcPr>
            <w:tcW w:w="0" w:type="auto"/>
            <w:tcBorders>
              <w:top w:val="nil"/>
              <w:left w:val="nil"/>
              <w:bottom w:val="nil"/>
              <w:right w:val="nil"/>
            </w:tcBorders>
            <w:shd w:val="clear" w:color="000000" w:fill="FFFFFF"/>
            <w:noWrap/>
            <w:vAlign w:val="center"/>
            <w:hideMark/>
          </w:tcPr>
          <w:p w14:paraId="2586D72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-16.1**</w:t>
            </w:r>
          </w:p>
        </w:tc>
        <w:tc>
          <w:tcPr>
            <w:tcW w:w="0" w:type="auto"/>
            <w:tcBorders>
              <w:top w:val="nil"/>
              <w:left w:val="nil"/>
              <w:bottom w:val="nil"/>
              <w:right w:val="nil"/>
            </w:tcBorders>
            <w:shd w:val="clear" w:color="000000" w:fill="FFFFFF"/>
            <w:noWrap/>
            <w:vAlign w:val="center"/>
            <w:hideMark/>
          </w:tcPr>
          <w:p w14:paraId="40F9242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-1.666</w:t>
            </w:r>
          </w:p>
        </w:tc>
        <w:tc>
          <w:tcPr>
            <w:tcW w:w="0" w:type="auto"/>
            <w:tcBorders>
              <w:top w:val="nil"/>
              <w:left w:val="nil"/>
              <w:bottom w:val="nil"/>
              <w:right w:val="nil"/>
            </w:tcBorders>
            <w:shd w:val="clear" w:color="000000" w:fill="FFFFFF"/>
            <w:noWrap/>
            <w:vAlign w:val="center"/>
            <w:hideMark/>
          </w:tcPr>
          <w:p w14:paraId="30ECA0F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2.407***</w:t>
            </w:r>
          </w:p>
        </w:tc>
        <w:tc>
          <w:tcPr>
            <w:tcW w:w="0" w:type="auto"/>
            <w:tcBorders>
              <w:top w:val="nil"/>
              <w:left w:val="nil"/>
              <w:bottom w:val="nil"/>
              <w:right w:val="nil"/>
            </w:tcBorders>
            <w:shd w:val="clear" w:color="000000" w:fill="FFFFFF"/>
            <w:noWrap/>
            <w:vAlign w:val="center"/>
            <w:hideMark/>
          </w:tcPr>
          <w:p w14:paraId="00E90C4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81</w:t>
            </w:r>
          </w:p>
        </w:tc>
      </w:tr>
      <w:tr w:rsidR="009C67F2" w:rsidRPr="00935EAC" w14:paraId="0A95356E"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33E1E57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Mexico</w:t>
            </w:r>
          </w:p>
        </w:tc>
        <w:tc>
          <w:tcPr>
            <w:tcW w:w="0" w:type="auto"/>
            <w:tcBorders>
              <w:top w:val="nil"/>
              <w:left w:val="nil"/>
              <w:bottom w:val="nil"/>
              <w:right w:val="nil"/>
            </w:tcBorders>
            <w:shd w:val="clear" w:color="000000" w:fill="FFFFFF"/>
            <w:noWrap/>
            <w:vAlign w:val="center"/>
            <w:hideMark/>
          </w:tcPr>
          <w:p w14:paraId="7C2D378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-3.649***</w:t>
            </w:r>
          </w:p>
        </w:tc>
        <w:tc>
          <w:tcPr>
            <w:tcW w:w="0" w:type="auto"/>
            <w:tcBorders>
              <w:top w:val="nil"/>
              <w:left w:val="nil"/>
              <w:bottom w:val="nil"/>
              <w:right w:val="nil"/>
            </w:tcBorders>
            <w:shd w:val="clear" w:color="000000" w:fill="FFFFFF"/>
            <w:noWrap/>
            <w:vAlign w:val="center"/>
            <w:hideMark/>
          </w:tcPr>
          <w:p w14:paraId="6DB8DD3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-3.35***</w:t>
            </w:r>
          </w:p>
        </w:tc>
        <w:tc>
          <w:tcPr>
            <w:tcW w:w="0" w:type="auto"/>
            <w:tcBorders>
              <w:top w:val="nil"/>
              <w:left w:val="nil"/>
              <w:bottom w:val="nil"/>
              <w:right w:val="nil"/>
            </w:tcBorders>
            <w:shd w:val="clear" w:color="000000" w:fill="FFFFFF"/>
            <w:noWrap/>
            <w:vAlign w:val="center"/>
            <w:hideMark/>
          </w:tcPr>
          <w:p w14:paraId="680BB06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-4.043***</w:t>
            </w:r>
          </w:p>
        </w:tc>
        <w:tc>
          <w:tcPr>
            <w:tcW w:w="0" w:type="auto"/>
            <w:tcBorders>
              <w:top w:val="nil"/>
              <w:left w:val="nil"/>
              <w:bottom w:val="nil"/>
              <w:right w:val="nil"/>
            </w:tcBorders>
            <w:shd w:val="clear" w:color="000000" w:fill="FFFFFF"/>
            <w:noWrap/>
            <w:vAlign w:val="center"/>
            <w:hideMark/>
          </w:tcPr>
          <w:p w14:paraId="237AE0B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-30.91***</w:t>
            </w:r>
          </w:p>
        </w:tc>
        <w:tc>
          <w:tcPr>
            <w:tcW w:w="0" w:type="auto"/>
            <w:tcBorders>
              <w:top w:val="nil"/>
              <w:left w:val="nil"/>
              <w:bottom w:val="nil"/>
              <w:right w:val="nil"/>
            </w:tcBorders>
            <w:shd w:val="clear" w:color="000000" w:fill="FFFFFF"/>
            <w:noWrap/>
            <w:vAlign w:val="center"/>
            <w:hideMark/>
          </w:tcPr>
          <w:p w14:paraId="3C0AC38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-3.432**</w:t>
            </w:r>
          </w:p>
        </w:tc>
        <w:tc>
          <w:tcPr>
            <w:tcW w:w="0" w:type="auto"/>
            <w:tcBorders>
              <w:top w:val="nil"/>
              <w:left w:val="nil"/>
              <w:bottom w:val="nil"/>
              <w:right w:val="nil"/>
            </w:tcBorders>
            <w:shd w:val="clear" w:color="000000" w:fill="FFFFFF"/>
            <w:noWrap/>
            <w:vAlign w:val="center"/>
            <w:hideMark/>
          </w:tcPr>
          <w:p w14:paraId="03FB50E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0.9175***</w:t>
            </w:r>
          </w:p>
        </w:tc>
        <w:tc>
          <w:tcPr>
            <w:tcW w:w="0" w:type="auto"/>
            <w:tcBorders>
              <w:top w:val="nil"/>
              <w:left w:val="nil"/>
              <w:bottom w:val="nil"/>
              <w:right w:val="nil"/>
            </w:tcBorders>
            <w:shd w:val="clear" w:color="000000" w:fill="FFFFFF"/>
            <w:noWrap/>
            <w:vAlign w:val="center"/>
            <w:hideMark/>
          </w:tcPr>
          <w:p w14:paraId="5B5C9A3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184</w:t>
            </w:r>
          </w:p>
        </w:tc>
      </w:tr>
      <w:tr w:rsidR="009C67F2" w:rsidRPr="00935EAC" w14:paraId="67F1ACE7"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192F83B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Moldova</w:t>
            </w:r>
          </w:p>
        </w:tc>
        <w:tc>
          <w:tcPr>
            <w:tcW w:w="0" w:type="auto"/>
            <w:tcBorders>
              <w:top w:val="nil"/>
              <w:left w:val="nil"/>
              <w:bottom w:val="nil"/>
              <w:right w:val="nil"/>
            </w:tcBorders>
            <w:shd w:val="clear" w:color="000000" w:fill="FFFFFF"/>
            <w:noWrap/>
            <w:vAlign w:val="center"/>
            <w:hideMark/>
          </w:tcPr>
          <w:p w14:paraId="4EDC091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-2.847**</w:t>
            </w:r>
          </w:p>
        </w:tc>
        <w:tc>
          <w:tcPr>
            <w:tcW w:w="0" w:type="auto"/>
            <w:tcBorders>
              <w:top w:val="nil"/>
              <w:left w:val="nil"/>
              <w:bottom w:val="nil"/>
              <w:right w:val="nil"/>
            </w:tcBorders>
            <w:shd w:val="clear" w:color="000000" w:fill="FFFFFF"/>
            <w:noWrap/>
            <w:vAlign w:val="center"/>
            <w:hideMark/>
          </w:tcPr>
          <w:p w14:paraId="6A56D2B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-2.54**</w:t>
            </w:r>
          </w:p>
        </w:tc>
        <w:tc>
          <w:tcPr>
            <w:tcW w:w="0" w:type="auto"/>
            <w:tcBorders>
              <w:top w:val="nil"/>
              <w:left w:val="nil"/>
              <w:bottom w:val="nil"/>
              <w:right w:val="nil"/>
            </w:tcBorders>
            <w:shd w:val="clear" w:color="000000" w:fill="FFFFFF"/>
            <w:noWrap/>
            <w:vAlign w:val="center"/>
            <w:hideMark/>
          </w:tcPr>
          <w:p w14:paraId="1FDE71E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-3.274**</w:t>
            </w:r>
          </w:p>
        </w:tc>
        <w:tc>
          <w:tcPr>
            <w:tcW w:w="0" w:type="auto"/>
            <w:tcBorders>
              <w:top w:val="nil"/>
              <w:left w:val="nil"/>
              <w:bottom w:val="nil"/>
              <w:right w:val="nil"/>
            </w:tcBorders>
            <w:shd w:val="clear" w:color="000000" w:fill="FFFFFF"/>
            <w:noWrap/>
            <w:vAlign w:val="center"/>
            <w:hideMark/>
          </w:tcPr>
          <w:p w14:paraId="33C45FF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-19.72**</w:t>
            </w:r>
          </w:p>
        </w:tc>
        <w:tc>
          <w:tcPr>
            <w:tcW w:w="0" w:type="auto"/>
            <w:tcBorders>
              <w:top w:val="nil"/>
              <w:left w:val="nil"/>
              <w:bottom w:val="nil"/>
              <w:right w:val="nil"/>
            </w:tcBorders>
            <w:shd w:val="clear" w:color="000000" w:fill="FFFFFF"/>
            <w:noWrap/>
            <w:vAlign w:val="center"/>
            <w:hideMark/>
          </w:tcPr>
          <w:p w14:paraId="0FA277A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-2.811*</w:t>
            </w:r>
          </w:p>
        </w:tc>
        <w:tc>
          <w:tcPr>
            <w:tcW w:w="0" w:type="auto"/>
            <w:tcBorders>
              <w:top w:val="nil"/>
              <w:left w:val="nil"/>
              <w:bottom w:val="nil"/>
              <w:right w:val="nil"/>
            </w:tcBorders>
            <w:shd w:val="clear" w:color="000000" w:fill="FFFFFF"/>
            <w:noWrap/>
            <w:vAlign w:val="center"/>
            <w:hideMark/>
          </w:tcPr>
          <w:p w14:paraId="66D4EAE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0.7676***</w:t>
            </w:r>
          </w:p>
        </w:tc>
        <w:tc>
          <w:tcPr>
            <w:tcW w:w="0" w:type="auto"/>
            <w:tcBorders>
              <w:top w:val="nil"/>
              <w:left w:val="nil"/>
              <w:bottom w:val="nil"/>
              <w:right w:val="nil"/>
            </w:tcBorders>
            <w:shd w:val="clear" w:color="000000" w:fill="FFFFFF"/>
            <w:noWrap/>
            <w:vAlign w:val="center"/>
            <w:hideMark/>
          </w:tcPr>
          <w:p w14:paraId="11438FD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101</w:t>
            </w:r>
          </w:p>
        </w:tc>
      </w:tr>
      <w:tr w:rsidR="009C67F2" w:rsidRPr="00935EAC" w14:paraId="5A4BCC1A"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3D83018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Montenegro</w:t>
            </w:r>
          </w:p>
        </w:tc>
        <w:tc>
          <w:tcPr>
            <w:tcW w:w="0" w:type="auto"/>
            <w:tcBorders>
              <w:top w:val="nil"/>
              <w:left w:val="nil"/>
              <w:bottom w:val="nil"/>
              <w:right w:val="nil"/>
            </w:tcBorders>
            <w:shd w:val="clear" w:color="000000" w:fill="FFFFFF"/>
            <w:noWrap/>
            <w:vAlign w:val="center"/>
            <w:hideMark/>
          </w:tcPr>
          <w:p w14:paraId="65DF135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-4.529***</w:t>
            </w:r>
          </w:p>
        </w:tc>
        <w:tc>
          <w:tcPr>
            <w:tcW w:w="0" w:type="auto"/>
            <w:tcBorders>
              <w:top w:val="nil"/>
              <w:left w:val="nil"/>
              <w:bottom w:val="nil"/>
              <w:right w:val="nil"/>
            </w:tcBorders>
            <w:shd w:val="clear" w:color="000000" w:fill="FFFFFF"/>
            <w:noWrap/>
            <w:vAlign w:val="center"/>
            <w:hideMark/>
          </w:tcPr>
          <w:p w14:paraId="39F6461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-4.511***</w:t>
            </w:r>
          </w:p>
        </w:tc>
        <w:tc>
          <w:tcPr>
            <w:tcW w:w="0" w:type="auto"/>
            <w:tcBorders>
              <w:top w:val="nil"/>
              <w:left w:val="nil"/>
              <w:bottom w:val="nil"/>
              <w:right w:val="nil"/>
            </w:tcBorders>
            <w:shd w:val="clear" w:color="000000" w:fill="FFFFFF"/>
            <w:noWrap/>
            <w:vAlign w:val="center"/>
            <w:hideMark/>
          </w:tcPr>
          <w:p w14:paraId="37EB33B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-4.529***</w:t>
            </w:r>
          </w:p>
        </w:tc>
        <w:tc>
          <w:tcPr>
            <w:tcW w:w="0" w:type="auto"/>
            <w:tcBorders>
              <w:top w:val="nil"/>
              <w:left w:val="nil"/>
              <w:bottom w:val="nil"/>
              <w:right w:val="nil"/>
            </w:tcBorders>
            <w:shd w:val="clear" w:color="000000" w:fill="FFFFFF"/>
            <w:noWrap/>
            <w:vAlign w:val="center"/>
            <w:hideMark/>
          </w:tcPr>
          <w:p w14:paraId="552B29F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-29.27***</w:t>
            </w:r>
          </w:p>
        </w:tc>
        <w:tc>
          <w:tcPr>
            <w:tcW w:w="0" w:type="auto"/>
            <w:tcBorders>
              <w:top w:val="nil"/>
              <w:left w:val="nil"/>
              <w:bottom w:val="nil"/>
              <w:right w:val="nil"/>
            </w:tcBorders>
            <w:shd w:val="clear" w:color="000000" w:fill="FFFFFF"/>
            <w:noWrap/>
            <w:vAlign w:val="center"/>
            <w:hideMark/>
          </w:tcPr>
          <w:p w14:paraId="73F62E6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-4.258***</w:t>
            </w:r>
          </w:p>
        </w:tc>
        <w:tc>
          <w:tcPr>
            <w:tcW w:w="0" w:type="auto"/>
            <w:tcBorders>
              <w:top w:val="nil"/>
              <w:left w:val="nil"/>
              <w:bottom w:val="nil"/>
              <w:right w:val="nil"/>
            </w:tcBorders>
            <w:shd w:val="clear" w:color="000000" w:fill="FFFFFF"/>
            <w:noWrap/>
            <w:vAlign w:val="center"/>
            <w:hideMark/>
          </w:tcPr>
          <w:p w14:paraId="465E929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0.2804</w:t>
            </w:r>
          </w:p>
        </w:tc>
        <w:tc>
          <w:tcPr>
            <w:tcW w:w="0" w:type="auto"/>
            <w:tcBorders>
              <w:top w:val="nil"/>
              <w:left w:val="nil"/>
              <w:bottom w:val="nil"/>
              <w:right w:val="nil"/>
            </w:tcBorders>
            <w:shd w:val="clear" w:color="000000" w:fill="FFFFFF"/>
            <w:noWrap/>
            <w:vAlign w:val="center"/>
            <w:hideMark/>
          </w:tcPr>
          <w:p w14:paraId="352B543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47</w:t>
            </w:r>
          </w:p>
        </w:tc>
      </w:tr>
      <w:tr w:rsidR="009C67F2" w:rsidRPr="00935EAC" w14:paraId="0758DB49" w14:textId="77777777" w:rsidTr="0073265E">
        <w:trPr>
          <w:trHeight w:val="20"/>
          <w:jc w:val="center"/>
        </w:trPr>
        <w:tc>
          <w:tcPr>
            <w:tcW w:w="0" w:type="auto"/>
            <w:tcBorders>
              <w:top w:val="nil"/>
              <w:left w:val="nil"/>
              <w:right w:val="nil"/>
            </w:tcBorders>
            <w:shd w:val="clear" w:color="000000" w:fill="FFFFFF"/>
            <w:noWrap/>
            <w:vAlign w:val="center"/>
            <w:hideMark/>
          </w:tcPr>
          <w:p w14:paraId="28E1EBC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Netherlands</w:t>
            </w:r>
          </w:p>
        </w:tc>
        <w:tc>
          <w:tcPr>
            <w:tcW w:w="0" w:type="auto"/>
            <w:tcBorders>
              <w:top w:val="nil"/>
              <w:left w:val="nil"/>
              <w:right w:val="nil"/>
            </w:tcBorders>
            <w:shd w:val="clear" w:color="000000" w:fill="FFFFFF"/>
            <w:noWrap/>
            <w:vAlign w:val="center"/>
            <w:hideMark/>
          </w:tcPr>
          <w:p w14:paraId="7E1EB4B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-2.223</w:t>
            </w:r>
          </w:p>
        </w:tc>
        <w:tc>
          <w:tcPr>
            <w:tcW w:w="0" w:type="auto"/>
            <w:tcBorders>
              <w:top w:val="nil"/>
              <w:left w:val="nil"/>
              <w:right w:val="nil"/>
            </w:tcBorders>
            <w:shd w:val="clear" w:color="000000" w:fill="FFFFFF"/>
            <w:noWrap/>
            <w:vAlign w:val="center"/>
            <w:hideMark/>
          </w:tcPr>
          <w:p w14:paraId="7B089E2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-0.9674</w:t>
            </w:r>
          </w:p>
        </w:tc>
        <w:tc>
          <w:tcPr>
            <w:tcW w:w="0" w:type="auto"/>
            <w:tcBorders>
              <w:top w:val="nil"/>
              <w:left w:val="nil"/>
              <w:right w:val="nil"/>
            </w:tcBorders>
            <w:shd w:val="clear" w:color="000000" w:fill="FFFFFF"/>
            <w:noWrap/>
            <w:vAlign w:val="center"/>
            <w:hideMark/>
          </w:tcPr>
          <w:p w14:paraId="14A778B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-7.146***</w:t>
            </w:r>
          </w:p>
        </w:tc>
        <w:tc>
          <w:tcPr>
            <w:tcW w:w="0" w:type="auto"/>
            <w:tcBorders>
              <w:top w:val="nil"/>
              <w:left w:val="nil"/>
              <w:right w:val="nil"/>
            </w:tcBorders>
            <w:shd w:val="clear" w:color="000000" w:fill="FFFFFF"/>
            <w:noWrap/>
            <w:vAlign w:val="center"/>
            <w:hideMark/>
          </w:tcPr>
          <w:p w14:paraId="77CEA96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-83.39***</w:t>
            </w:r>
          </w:p>
        </w:tc>
        <w:tc>
          <w:tcPr>
            <w:tcW w:w="0" w:type="auto"/>
            <w:tcBorders>
              <w:top w:val="nil"/>
              <w:left w:val="nil"/>
              <w:right w:val="nil"/>
            </w:tcBorders>
            <w:shd w:val="clear" w:color="000000" w:fill="FFFFFF"/>
            <w:noWrap/>
            <w:vAlign w:val="center"/>
            <w:hideMark/>
          </w:tcPr>
          <w:p w14:paraId="4E465CC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-3.369**</w:t>
            </w:r>
          </w:p>
        </w:tc>
        <w:tc>
          <w:tcPr>
            <w:tcW w:w="0" w:type="auto"/>
            <w:tcBorders>
              <w:top w:val="nil"/>
              <w:left w:val="nil"/>
              <w:right w:val="nil"/>
            </w:tcBorders>
            <w:shd w:val="clear" w:color="000000" w:fill="FFFFFF"/>
            <w:noWrap/>
            <w:vAlign w:val="center"/>
            <w:hideMark/>
          </w:tcPr>
          <w:p w14:paraId="7C619E7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8.626***</w:t>
            </w:r>
          </w:p>
        </w:tc>
        <w:tc>
          <w:tcPr>
            <w:tcW w:w="0" w:type="auto"/>
            <w:tcBorders>
              <w:top w:val="nil"/>
              <w:left w:val="nil"/>
              <w:right w:val="nil"/>
            </w:tcBorders>
            <w:shd w:val="clear" w:color="000000" w:fill="FFFFFF"/>
            <w:noWrap/>
            <w:vAlign w:val="center"/>
            <w:hideMark/>
          </w:tcPr>
          <w:p w14:paraId="4808740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192</w:t>
            </w:r>
          </w:p>
        </w:tc>
      </w:tr>
      <w:tr w:rsidR="009C67F2" w:rsidRPr="00935EAC" w14:paraId="18CF3421" w14:textId="77777777" w:rsidTr="0073265E">
        <w:trPr>
          <w:trHeight w:val="20"/>
          <w:jc w:val="center"/>
        </w:trPr>
        <w:tc>
          <w:tcPr>
            <w:tcW w:w="0" w:type="auto"/>
            <w:tcBorders>
              <w:top w:val="nil"/>
              <w:left w:val="nil"/>
              <w:bottom w:val="single" w:sz="4" w:space="0" w:color="auto"/>
              <w:right w:val="nil"/>
            </w:tcBorders>
            <w:shd w:val="clear" w:color="000000" w:fill="FFFFFF"/>
            <w:noWrap/>
            <w:vAlign w:val="center"/>
            <w:hideMark/>
          </w:tcPr>
          <w:p w14:paraId="76E13AB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New Zealand</w:t>
            </w:r>
          </w:p>
        </w:tc>
        <w:tc>
          <w:tcPr>
            <w:tcW w:w="0" w:type="auto"/>
            <w:tcBorders>
              <w:top w:val="nil"/>
              <w:left w:val="nil"/>
              <w:bottom w:val="single" w:sz="4" w:space="0" w:color="auto"/>
              <w:right w:val="nil"/>
            </w:tcBorders>
            <w:shd w:val="clear" w:color="000000" w:fill="FFFFFF"/>
            <w:noWrap/>
            <w:vAlign w:val="center"/>
            <w:hideMark/>
          </w:tcPr>
          <w:p w14:paraId="399644F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-4.42***</w:t>
            </w:r>
          </w:p>
        </w:tc>
        <w:tc>
          <w:tcPr>
            <w:tcW w:w="0" w:type="auto"/>
            <w:tcBorders>
              <w:top w:val="nil"/>
              <w:left w:val="nil"/>
              <w:bottom w:val="single" w:sz="4" w:space="0" w:color="auto"/>
              <w:right w:val="nil"/>
            </w:tcBorders>
            <w:shd w:val="clear" w:color="000000" w:fill="FFFFFF"/>
            <w:noWrap/>
            <w:vAlign w:val="center"/>
            <w:hideMark/>
          </w:tcPr>
          <w:p w14:paraId="54E174E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-3.524***</w:t>
            </w:r>
          </w:p>
        </w:tc>
        <w:tc>
          <w:tcPr>
            <w:tcW w:w="0" w:type="auto"/>
            <w:tcBorders>
              <w:top w:val="nil"/>
              <w:left w:val="nil"/>
              <w:bottom w:val="single" w:sz="4" w:space="0" w:color="auto"/>
              <w:right w:val="nil"/>
            </w:tcBorders>
            <w:shd w:val="clear" w:color="000000" w:fill="FFFFFF"/>
            <w:noWrap/>
            <w:vAlign w:val="center"/>
            <w:hideMark/>
          </w:tcPr>
          <w:p w14:paraId="684E975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-4.42***</w:t>
            </w:r>
          </w:p>
        </w:tc>
        <w:tc>
          <w:tcPr>
            <w:tcW w:w="0" w:type="auto"/>
            <w:tcBorders>
              <w:top w:val="nil"/>
              <w:left w:val="nil"/>
              <w:bottom w:val="single" w:sz="4" w:space="0" w:color="auto"/>
              <w:right w:val="nil"/>
            </w:tcBorders>
            <w:shd w:val="clear" w:color="000000" w:fill="FFFFFF"/>
            <w:noWrap/>
            <w:vAlign w:val="center"/>
            <w:hideMark/>
          </w:tcPr>
          <w:p w14:paraId="2A109AC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-35.22***</w:t>
            </w:r>
          </w:p>
        </w:tc>
        <w:tc>
          <w:tcPr>
            <w:tcW w:w="0" w:type="auto"/>
            <w:tcBorders>
              <w:top w:val="nil"/>
              <w:left w:val="nil"/>
              <w:bottom w:val="single" w:sz="4" w:space="0" w:color="auto"/>
              <w:right w:val="nil"/>
            </w:tcBorders>
            <w:shd w:val="clear" w:color="000000" w:fill="FFFFFF"/>
            <w:noWrap/>
            <w:vAlign w:val="center"/>
            <w:hideMark/>
          </w:tcPr>
          <w:p w14:paraId="5A0EAAA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-4.367***</w:t>
            </w:r>
          </w:p>
        </w:tc>
        <w:tc>
          <w:tcPr>
            <w:tcW w:w="0" w:type="auto"/>
            <w:tcBorders>
              <w:top w:val="nil"/>
              <w:left w:val="nil"/>
              <w:bottom w:val="single" w:sz="4" w:space="0" w:color="auto"/>
              <w:right w:val="nil"/>
            </w:tcBorders>
            <w:shd w:val="clear" w:color="000000" w:fill="FFFFFF"/>
            <w:noWrap/>
            <w:vAlign w:val="center"/>
            <w:hideMark/>
          </w:tcPr>
          <w:p w14:paraId="7FB55A6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0.9916***</w:t>
            </w:r>
          </w:p>
        </w:tc>
        <w:tc>
          <w:tcPr>
            <w:tcW w:w="0" w:type="auto"/>
            <w:tcBorders>
              <w:top w:val="nil"/>
              <w:left w:val="nil"/>
              <w:bottom w:val="single" w:sz="4" w:space="0" w:color="auto"/>
              <w:right w:val="nil"/>
            </w:tcBorders>
            <w:shd w:val="clear" w:color="000000" w:fill="FFFFFF"/>
            <w:noWrap/>
            <w:vAlign w:val="center"/>
            <w:hideMark/>
          </w:tcPr>
          <w:p w14:paraId="6B5AE34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180</w:t>
            </w:r>
          </w:p>
        </w:tc>
      </w:tr>
      <w:tr w:rsidR="009C67F2" w:rsidRPr="00935EAC" w14:paraId="7FCA88AB" w14:textId="77777777" w:rsidTr="0073265E">
        <w:trPr>
          <w:trHeight w:val="20"/>
          <w:jc w:val="center"/>
        </w:trPr>
        <w:tc>
          <w:tcPr>
            <w:tcW w:w="0" w:type="auto"/>
            <w:tcBorders>
              <w:top w:val="single" w:sz="4" w:space="0" w:color="auto"/>
              <w:left w:val="nil"/>
              <w:bottom w:val="nil"/>
              <w:right w:val="nil"/>
            </w:tcBorders>
            <w:shd w:val="clear" w:color="000000" w:fill="FFFFFF"/>
            <w:noWrap/>
            <w:vAlign w:val="center"/>
            <w:hideMark/>
          </w:tcPr>
          <w:p w14:paraId="600F952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lastRenderedPageBreak/>
              <w:t>Norway</w:t>
            </w:r>
          </w:p>
        </w:tc>
        <w:tc>
          <w:tcPr>
            <w:tcW w:w="0" w:type="auto"/>
            <w:tcBorders>
              <w:top w:val="single" w:sz="4" w:space="0" w:color="auto"/>
              <w:left w:val="nil"/>
              <w:bottom w:val="nil"/>
              <w:right w:val="nil"/>
            </w:tcBorders>
            <w:shd w:val="clear" w:color="000000" w:fill="FFFFFF"/>
            <w:noWrap/>
            <w:vAlign w:val="center"/>
            <w:hideMark/>
          </w:tcPr>
          <w:p w14:paraId="50D9D7B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-2.811*</w:t>
            </w:r>
          </w:p>
        </w:tc>
        <w:tc>
          <w:tcPr>
            <w:tcW w:w="0" w:type="auto"/>
            <w:tcBorders>
              <w:top w:val="single" w:sz="4" w:space="0" w:color="auto"/>
              <w:left w:val="nil"/>
              <w:bottom w:val="nil"/>
              <w:right w:val="nil"/>
            </w:tcBorders>
            <w:shd w:val="clear" w:color="000000" w:fill="FFFFFF"/>
            <w:noWrap/>
            <w:vAlign w:val="center"/>
            <w:hideMark/>
          </w:tcPr>
          <w:p w14:paraId="5035DD4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-1.024</w:t>
            </w:r>
          </w:p>
        </w:tc>
        <w:tc>
          <w:tcPr>
            <w:tcW w:w="0" w:type="auto"/>
            <w:tcBorders>
              <w:top w:val="single" w:sz="4" w:space="0" w:color="auto"/>
              <w:left w:val="nil"/>
              <w:bottom w:val="nil"/>
              <w:right w:val="nil"/>
            </w:tcBorders>
            <w:shd w:val="clear" w:color="000000" w:fill="FFFFFF"/>
            <w:noWrap/>
            <w:vAlign w:val="center"/>
            <w:hideMark/>
          </w:tcPr>
          <w:p w14:paraId="3D75C28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-2.811*</w:t>
            </w:r>
          </w:p>
        </w:tc>
        <w:tc>
          <w:tcPr>
            <w:tcW w:w="0" w:type="auto"/>
            <w:tcBorders>
              <w:top w:val="single" w:sz="4" w:space="0" w:color="auto"/>
              <w:left w:val="nil"/>
              <w:bottom w:val="nil"/>
              <w:right w:val="nil"/>
            </w:tcBorders>
            <w:shd w:val="clear" w:color="000000" w:fill="FFFFFF"/>
            <w:noWrap/>
            <w:vAlign w:val="center"/>
            <w:hideMark/>
          </w:tcPr>
          <w:p w14:paraId="69B5A76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-14.54**</w:t>
            </w:r>
          </w:p>
        </w:tc>
        <w:tc>
          <w:tcPr>
            <w:tcW w:w="0" w:type="auto"/>
            <w:tcBorders>
              <w:top w:val="single" w:sz="4" w:space="0" w:color="auto"/>
              <w:left w:val="nil"/>
              <w:bottom w:val="nil"/>
              <w:right w:val="nil"/>
            </w:tcBorders>
            <w:shd w:val="clear" w:color="000000" w:fill="FFFFFF"/>
            <w:noWrap/>
            <w:vAlign w:val="center"/>
            <w:hideMark/>
          </w:tcPr>
          <w:p w14:paraId="78E4619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-3.846***</w:t>
            </w:r>
          </w:p>
        </w:tc>
        <w:tc>
          <w:tcPr>
            <w:tcW w:w="0" w:type="auto"/>
            <w:tcBorders>
              <w:top w:val="single" w:sz="4" w:space="0" w:color="auto"/>
              <w:left w:val="nil"/>
              <w:bottom w:val="nil"/>
              <w:right w:val="nil"/>
            </w:tcBorders>
            <w:shd w:val="clear" w:color="000000" w:fill="FFFFFF"/>
            <w:noWrap/>
            <w:vAlign w:val="center"/>
            <w:hideMark/>
          </w:tcPr>
          <w:p w14:paraId="6C803CF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10.29***</w:t>
            </w:r>
          </w:p>
        </w:tc>
        <w:tc>
          <w:tcPr>
            <w:tcW w:w="0" w:type="auto"/>
            <w:tcBorders>
              <w:top w:val="single" w:sz="4" w:space="0" w:color="auto"/>
              <w:left w:val="nil"/>
              <w:bottom w:val="nil"/>
              <w:right w:val="nil"/>
            </w:tcBorders>
            <w:shd w:val="clear" w:color="000000" w:fill="FFFFFF"/>
            <w:noWrap/>
            <w:vAlign w:val="center"/>
            <w:hideMark/>
          </w:tcPr>
          <w:p w14:paraId="0EAF8D4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200</w:t>
            </w:r>
          </w:p>
        </w:tc>
      </w:tr>
      <w:tr w:rsidR="009C67F2" w:rsidRPr="00935EAC" w14:paraId="6F5FCDDF"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17E9FFB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Paraguay</w:t>
            </w:r>
          </w:p>
        </w:tc>
        <w:tc>
          <w:tcPr>
            <w:tcW w:w="0" w:type="auto"/>
            <w:tcBorders>
              <w:top w:val="nil"/>
              <w:left w:val="nil"/>
              <w:bottom w:val="nil"/>
              <w:right w:val="nil"/>
            </w:tcBorders>
            <w:shd w:val="clear" w:color="000000" w:fill="FFFFFF"/>
            <w:noWrap/>
            <w:vAlign w:val="center"/>
            <w:hideMark/>
          </w:tcPr>
          <w:p w14:paraId="070398B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-3.47***</w:t>
            </w:r>
          </w:p>
        </w:tc>
        <w:tc>
          <w:tcPr>
            <w:tcW w:w="0" w:type="auto"/>
            <w:tcBorders>
              <w:top w:val="nil"/>
              <w:left w:val="nil"/>
              <w:bottom w:val="nil"/>
              <w:right w:val="nil"/>
            </w:tcBorders>
            <w:shd w:val="clear" w:color="000000" w:fill="FFFFFF"/>
            <w:noWrap/>
            <w:vAlign w:val="center"/>
            <w:hideMark/>
          </w:tcPr>
          <w:p w14:paraId="3005CB9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-2.7***</w:t>
            </w:r>
          </w:p>
        </w:tc>
        <w:tc>
          <w:tcPr>
            <w:tcW w:w="0" w:type="auto"/>
            <w:tcBorders>
              <w:top w:val="nil"/>
              <w:left w:val="nil"/>
              <w:bottom w:val="nil"/>
              <w:right w:val="nil"/>
            </w:tcBorders>
            <w:shd w:val="clear" w:color="000000" w:fill="FFFFFF"/>
            <w:noWrap/>
            <w:vAlign w:val="center"/>
            <w:hideMark/>
          </w:tcPr>
          <w:p w14:paraId="696135E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-6.039***</w:t>
            </w:r>
          </w:p>
        </w:tc>
        <w:tc>
          <w:tcPr>
            <w:tcW w:w="0" w:type="auto"/>
            <w:tcBorders>
              <w:top w:val="nil"/>
              <w:left w:val="nil"/>
              <w:bottom w:val="nil"/>
              <w:right w:val="nil"/>
            </w:tcBorders>
            <w:shd w:val="clear" w:color="000000" w:fill="FFFFFF"/>
            <w:noWrap/>
            <w:vAlign w:val="center"/>
            <w:hideMark/>
          </w:tcPr>
          <w:p w14:paraId="515DC00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-52.21***</w:t>
            </w:r>
          </w:p>
        </w:tc>
        <w:tc>
          <w:tcPr>
            <w:tcW w:w="0" w:type="auto"/>
            <w:tcBorders>
              <w:top w:val="nil"/>
              <w:left w:val="nil"/>
              <w:bottom w:val="nil"/>
              <w:right w:val="nil"/>
            </w:tcBorders>
            <w:shd w:val="clear" w:color="000000" w:fill="FFFFFF"/>
            <w:noWrap/>
            <w:vAlign w:val="center"/>
            <w:hideMark/>
          </w:tcPr>
          <w:p w14:paraId="149C8F9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-2.332</w:t>
            </w:r>
          </w:p>
        </w:tc>
        <w:tc>
          <w:tcPr>
            <w:tcW w:w="0" w:type="auto"/>
            <w:tcBorders>
              <w:top w:val="nil"/>
              <w:left w:val="nil"/>
              <w:bottom w:val="nil"/>
              <w:right w:val="nil"/>
            </w:tcBorders>
            <w:shd w:val="clear" w:color="000000" w:fill="FFFFFF"/>
            <w:noWrap/>
            <w:vAlign w:val="center"/>
            <w:hideMark/>
          </w:tcPr>
          <w:p w14:paraId="553DF69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0.2988</w:t>
            </w:r>
          </w:p>
        </w:tc>
        <w:tc>
          <w:tcPr>
            <w:tcW w:w="0" w:type="auto"/>
            <w:tcBorders>
              <w:top w:val="nil"/>
              <w:left w:val="nil"/>
              <w:bottom w:val="nil"/>
              <w:right w:val="nil"/>
            </w:tcBorders>
            <w:shd w:val="clear" w:color="000000" w:fill="FFFFFF"/>
            <w:noWrap/>
            <w:vAlign w:val="center"/>
            <w:hideMark/>
          </w:tcPr>
          <w:p w14:paraId="4529CB0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84</w:t>
            </w:r>
          </w:p>
        </w:tc>
      </w:tr>
      <w:tr w:rsidR="009C67F2" w:rsidRPr="00935EAC" w14:paraId="58890D76"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4969D28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Peru</w:t>
            </w:r>
          </w:p>
        </w:tc>
        <w:tc>
          <w:tcPr>
            <w:tcW w:w="0" w:type="auto"/>
            <w:tcBorders>
              <w:top w:val="nil"/>
              <w:left w:val="nil"/>
              <w:bottom w:val="nil"/>
              <w:right w:val="nil"/>
            </w:tcBorders>
            <w:shd w:val="clear" w:color="000000" w:fill="FFFFFF"/>
            <w:noWrap/>
            <w:vAlign w:val="center"/>
            <w:hideMark/>
          </w:tcPr>
          <w:p w14:paraId="7BBE823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-3.426**</w:t>
            </w:r>
          </w:p>
        </w:tc>
        <w:tc>
          <w:tcPr>
            <w:tcW w:w="0" w:type="auto"/>
            <w:tcBorders>
              <w:top w:val="nil"/>
              <w:left w:val="nil"/>
              <w:bottom w:val="nil"/>
              <w:right w:val="nil"/>
            </w:tcBorders>
            <w:shd w:val="clear" w:color="000000" w:fill="FFFFFF"/>
            <w:noWrap/>
            <w:vAlign w:val="center"/>
            <w:hideMark/>
          </w:tcPr>
          <w:p w14:paraId="569798B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w:t>
            </w:r>
          </w:p>
        </w:tc>
        <w:tc>
          <w:tcPr>
            <w:tcW w:w="0" w:type="auto"/>
            <w:tcBorders>
              <w:top w:val="nil"/>
              <w:left w:val="nil"/>
              <w:bottom w:val="nil"/>
              <w:right w:val="nil"/>
            </w:tcBorders>
            <w:shd w:val="clear" w:color="000000" w:fill="FFFFFF"/>
            <w:noWrap/>
            <w:vAlign w:val="center"/>
            <w:hideMark/>
          </w:tcPr>
          <w:p w14:paraId="10CB22D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-2.904**</w:t>
            </w:r>
          </w:p>
        </w:tc>
        <w:tc>
          <w:tcPr>
            <w:tcW w:w="0" w:type="auto"/>
            <w:tcBorders>
              <w:top w:val="nil"/>
              <w:left w:val="nil"/>
              <w:bottom w:val="nil"/>
              <w:right w:val="nil"/>
            </w:tcBorders>
            <w:shd w:val="clear" w:color="000000" w:fill="FFFFFF"/>
            <w:noWrap/>
            <w:vAlign w:val="center"/>
            <w:hideMark/>
          </w:tcPr>
          <w:p w14:paraId="5C05457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-16.29**</w:t>
            </w:r>
          </w:p>
        </w:tc>
        <w:tc>
          <w:tcPr>
            <w:tcW w:w="0" w:type="auto"/>
            <w:tcBorders>
              <w:top w:val="nil"/>
              <w:left w:val="nil"/>
              <w:bottom w:val="nil"/>
              <w:right w:val="nil"/>
            </w:tcBorders>
            <w:shd w:val="clear" w:color="000000" w:fill="FFFFFF"/>
            <w:noWrap/>
            <w:vAlign w:val="center"/>
            <w:hideMark/>
          </w:tcPr>
          <w:p w14:paraId="51469D2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-3.05**</w:t>
            </w:r>
          </w:p>
        </w:tc>
        <w:tc>
          <w:tcPr>
            <w:tcW w:w="0" w:type="auto"/>
            <w:tcBorders>
              <w:top w:val="nil"/>
              <w:left w:val="nil"/>
              <w:bottom w:val="nil"/>
              <w:right w:val="nil"/>
            </w:tcBorders>
            <w:shd w:val="clear" w:color="000000" w:fill="FFFFFF"/>
            <w:noWrap/>
            <w:vAlign w:val="center"/>
            <w:hideMark/>
          </w:tcPr>
          <w:p w14:paraId="1D07C07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3.072***</w:t>
            </w:r>
          </w:p>
        </w:tc>
        <w:tc>
          <w:tcPr>
            <w:tcW w:w="0" w:type="auto"/>
            <w:tcBorders>
              <w:top w:val="nil"/>
              <w:left w:val="nil"/>
              <w:bottom w:val="nil"/>
              <w:right w:val="nil"/>
            </w:tcBorders>
            <w:shd w:val="clear" w:color="000000" w:fill="FFFFFF"/>
            <w:noWrap/>
            <w:vAlign w:val="center"/>
            <w:hideMark/>
          </w:tcPr>
          <w:p w14:paraId="4D6FE3F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165</w:t>
            </w:r>
          </w:p>
        </w:tc>
      </w:tr>
      <w:tr w:rsidR="009C67F2" w:rsidRPr="00935EAC" w14:paraId="175C50CE"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1CD6517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Philippines</w:t>
            </w:r>
          </w:p>
        </w:tc>
        <w:tc>
          <w:tcPr>
            <w:tcW w:w="0" w:type="auto"/>
            <w:tcBorders>
              <w:top w:val="nil"/>
              <w:left w:val="nil"/>
              <w:bottom w:val="nil"/>
              <w:right w:val="nil"/>
            </w:tcBorders>
            <w:shd w:val="clear" w:color="000000" w:fill="FFFFFF"/>
            <w:noWrap/>
            <w:vAlign w:val="center"/>
            <w:hideMark/>
          </w:tcPr>
          <w:p w14:paraId="64FF334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-1.985</w:t>
            </w:r>
          </w:p>
        </w:tc>
        <w:tc>
          <w:tcPr>
            <w:tcW w:w="0" w:type="auto"/>
            <w:tcBorders>
              <w:top w:val="nil"/>
              <w:left w:val="nil"/>
              <w:bottom w:val="nil"/>
              <w:right w:val="nil"/>
            </w:tcBorders>
            <w:shd w:val="clear" w:color="000000" w:fill="FFFFFF"/>
            <w:noWrap/>
            <w:vAlign w:val="center"/>
            <w:hideMark/>
          </w:tcPr>
          <w:p w14:paraId="2D5EA20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-1.954*</w:t>
            </w:r>
          </w:p>
        </w:tc>
        <w:tc>
          <w:tcPr>
            <w:tcW w:w="0" w:type="auto"/>
            <w:tcBorders>
              <w:top w:val="nil"/>
              <w:left w:val="nil"/>
              <w:bottom w:val="nil"/>
              <w:right w:val="nil"/>
            </w:tcBorders>
            <w:shd w:val="clear" w:color="000000" w:fill="FFFFFF"/>
            <w:noWrap/>
            <w:vAlign w:val="center"/>
            <w:hideMark/>
          </w:tcPr>
          <w:p w14:paraId="227AB6B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-4.633***</w:t>
            </w:r>
          </w:p>
        </w:tc>
        <w:tc>
          <w:tcPr>
            <w:tcW w:w="0" w:type="auto"/>
            <w:tcBorders>
              <w:top w:val="nil"/>
              <w:left w:val="nil"/>
              <w:bottom w:val="nil"/>
              <w:right w:val="nil"/>
            </w:tcBorders>
            <w:shd w:val="clear" w:color="000000" w:fill="FFFFFF"/>
            <w:noWrap/>
            <w:vAlign w:val="center"/>
            <w:hideMark/>
          </w:tcPr>
          <w:p w14:paraId="58C071F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-38.39***</w:t>
            </w:r>
          </w:p>
        </w:tc>
        <w:tc>
          <w:tcPr>
            <w:tcW w:w="0" w:type="auto"/>
            <w:tcBorders>
              <w:top w:val="nil"/>
              <w:left w:val="nil"/>
              <w:bottom w:val="nil"/>
              <w:right w:val="nil"/>
            </w:tcBorders>
            <w:shd w:val="clear" w:color="000000" w:fill="FFFFFF"/>
            <w:noWrap/>
            <w:vAlign w:val="center"/>
            <w:hideMark/>
          </w:tcPr>
          <w:p w14:paraId="69E097E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-2.159</w:t>
            </w:r>
          </w:p>
        </w:tc>
        <w:tc>
          <w:tcPr>
            <w:tcW w:w="0" w:type="auto"/>
            <w:tcBorders>
              <w:top w:val="nil"/>
              <w:left w:val="nil"/>
              <w:bottom w:val="nil"/>
              <w:right w:val="nil"/>
            </w:tcBorders>
            <w:shd w:val="clear" w:color="000000" w:fill="FFFFFF"/>
            <w:noWrap/>
            <w:vAlign w:val="center"/>
            <w:hideMark/>
          </w:tcPr>
          <w:p w14:paraId="6831235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5.834***</w:t>
            </w:r>
          </w:p>
        </w:tc>
        <w:tc>
          <w:tcPr>
            <w:tcW w:w="0" w:type="auto"/>
            <w:tcBorders>
              <w:top w:val="nil"/>
              <w:left w:val="nil"/>
              <w:bottom w:val="nil"/>
              <w:right w:val="nil"/>
            </w:tcBorders>
            <w:shd w:val="clear" w:color="000000" w:fill="FFFFFF"/>
            <w:noWrap/>
            <w:vAlign w:val="center"/>
            <w:hideMark/>
          </w:tcPr>
          <w:p w14:paraId="4026461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165</w:t>
            </w:r>
          </w:p>
        </w:tc>
      </w:tr>
      <w:tr w:rsidR="009C67F2" w:rsidRPr="00935EAC" w14:paraId="5FE52268"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4B949DE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Poland</w:t>
            </w:r>
          </w:p>
        </w:tc>
        <w:tc>
          <w:tcPr>
            <w:tcW w:w="0" w:type="auto"/>
            <w:tcBorders>
              <w:top w:val="nil"/>
              <w:left w:val="nil"/>
              <w:bottom w:val="nil"/>
              <w:right w:val="nil"/>
            </w:tcBorders>
            <w:shd w:val="clear" w:color="000000" w:fill="FFFFFF"/>
            <w:noWrap/>
            <w:vAlign w:val="center"/>
            <w:hideMark/>
          </w:tcPr>
          <w:p w14:paraId="1F7A105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-3.807***</w:t>
            </w:r>
          </w:p>
        </w:tc>
        <w:tc>
          <w:tcPr>
            <w:tcW w:w="0" w:type="auto"/>
            <w:tcBorders>
              <w:top w:val="nil"/>
              <w:left w:val="nil"/>
              <w:bottom w:val="nil"/>
              <w:right w:val="nil"/>
            </w:tcBorders>
            <w:shd w:val="clear" w:color="000000" w:fill="FFFFFF"/>
            <w:noWrap/>
            <w:vAlign w:val="center"/>
            <w:hideMark/>
          </w:tcPr>
          <w:p w14:paraId="28D2A62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-2.257**</w:t>
            </w:r>
          </w:p>
        </w:tc>
        <w:tc>
          <w:tcPr>
            <w:tcW w:w="0" w:type="auto"/>
            <w:tcBorders>
              <w:top w:val="nil"/>
              <w:left w:val="nil"/>
              <w:bottom w:val="nil"/>
              <w:right w:val="nil"/>
            </w:tcBorders>
            <w:shd w:val="clear" w:color="000000" w:fill="FFFFFF"/>
            <w:noWrap/>
            <w:vAlign w:val="center"/>
            <w:hideMark/>
          </w:tcPr>
          <w:p w14:paraId="343C6B3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-5.732***</w:t>
            </w:r>
          </w:p>
        </w:tc>
        <w:tc>
          <w:tcPr>
            <w:tcW w:w="0" w:type="auto"/>
            <w:tcBorders>
              <w:top w:val="nil"/>
              <w:left w:val="nil"/>
              <w:bottom w:val="nil"/>
              <w:right w:val="nil"/>
            </w:tcBorders>
            <w:shd w:val="clear" w:color="000000" w:fill="FFFFFF"/>
            <w:noWrap/>
            <w:vAlign w:val="center"/>
            <w:hideMark/>
          </w:tcPr>
          <w:p w14:paraId="0CE95F3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-54.42***</w:t>
            </w:r>
          </w:p>
        </w:tc>
        <w:tc>
          <w:tcPr>
            <w:tcW w:w="0" w:type="auto"/>
            <w:tcBorders>
              <w:top w:val="nil"/>
              <w:left w:val="nil"/>
              <w:bottom w:val="nil"/>
              <w:right w:val="nil"/>
            </w:tcBorders>
            <w:shd w:val="clear" w:color="000000" w:fill="FFFFFF"/>
            <w:noWrap/>
            <w:vAlign w:val="center"/>
            <w:hideMark/>
          </w:tcPr>
          <w:p w14:paraId="6FF78D9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-3.554**</w:t>
            </w:r>
          </w:p>
        </w:tc>
        <w:tc>
          <w:tcPr>
            <w:tcW w:w="0" w:type="auto"/>
            <w:tcBorders>
              <w:top w:val="nil"/>
              <w:left w:val="nil"/>
              <w:bottom w:val="nil"/>
              <w:right w:val="nil"/>
            </w:tcBorders>
            <w:shd w:val="clear" w:color="000000" w:fill="FFFFFF"/>
            <w:noWrap/>
            <w:vAlign w:val="center"/>
            <w:hideMark/>
          </w:tcPr>
          <w:p w14:paraId="06FF98F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1.23***</w:t>
            </w:r>
          </w:p>
        </w:tc>
        <w:tc>
          <w:tcPr>
            <w:tcW w:w="0" w:type="auto"/>
            <w:tcBorders>
              <w:top w:val="nil"/>
              <w:left w:val="nil"/>
              <w:bottom w:val="nil"/>
              <w:right w:val="nil"/>
            </w:tcBorders>
            <w:shd w:val="clear" w:color="000000" w:fill="FFFFFF"/>
            <w:noWrap/>
            <w:vAlign w:val="center"/>
            <w:hideMark/>
          </w:tcPr>
          <w:p w14:paraId="169B53A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160</w:t>
            </w:r>
          </w:p>
        </w:tc>
      </w:tr>
      <w:tr w:rsidR="009C67F2" w:rsidRPr="00935EAC" w14:paraId="63669A9F"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7465C97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Portugal</w:t>
            </w:r>
          </w:p>
        </w:tc>
        <w:tc>
          <w:tcPr>
            <w:tcW w:w="0" w:type="auto"/>
            <w:tcBorders>
              <w:top w:val="nil"/>
              <w:left w:val="nil"/>
              <w:bottom w:val="nil"/>
              <w:right w:val="nil"/>
            </w:tcBorders>
            <w:shd w:val="clear" w:color="000000" w:fill="FFFFFF"/>
            <w:noWrap/>
            <w:vAlign w:val="center"/>
            <w:hideMark/>
          </w:tcPr>
          <w:p w14:paraId="7FEEEAB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-2.862**</w:t>
            </w:r>
          </w:p>
        </w:tc>
        <w:tc>
          <w:tcPr>
            <w:tcW w:w="0" w:type="auto"/>
            <w:tcBorders>
              <w:top w:val="nil"/>
              <w:left w:val="nil"/>
              <w:bottom w:val="nil"/>
              <w:right w:val="nil"/>
            </w:tcBorders>
            <w:shd w:val="clear" w:color="000000" w:fill="FFFFFF"/>
            <w:noWrap/>
            <w:vAlign w:val="center"/>
            <w:hideMark/>
          </w:tcPr>
          <w:p w14:paraId="0BAE69F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-2.605**</w:t>
            </w:r>
          </w:p>
        </w:tc>
        <w:tc>
          <w:tcPr>
            <w:tcW w:w="0" w:type="auto"/>
            <w:tcBorders>
              <w:top w:val="nil"/>
              <w:left w:val="nil"/>
              <w:bottom w:val="nil"/>
              <w:right w:val="nil"/>
            </w:tcBorders>
            <w:shd w:val="clear" w:color="000000" w:fill="FFFFFF"/>
            <w:noWrap/>
            <w:vAlign w:val="center"/>
            <w:hideMark/>
          </w:tcPr>
          <w:p w14:paraId="3D22C36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-2.755*</w:t>
            </w:r>
          </w:p>
        </w:tc>
        <w:tc>
          <w:tcPr>
            <w:tcW w:w="0" w:type="auto"/>
            <w:tcBorders>
              <w:top w:val="nil"/>
              <w:left w:val="nil"/>
              <w:bottom w:val="nil"/>
              <w:right w:val="nil"/>
            </w:tcBorders>
            <w:shd w:val="clear" w:color="000000" w:fill="FFFFFF"/>
            <w:noWrap/>
            <w:vAlign w:val="center"/>
            <w:hideMark/>
          </w:tcPr>
          <w:p w14:paraId="79AE13A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-15.17**</w:t>
            </w:r>
          </w:p>
        </w:tc>
        <w:tc>
          <w:tcPr>
            <w:tcW w:w="0" w:type="auto"/>
            <w:tcBorders>
              <w:top w:val="nil"/>
              <w:left w:val="nil"/>
              <w:bottom w:val="nil"/>
              <w:right w:val="nil"/>
            </w:tcBorders>
            <w:shd w:val="clear" w:color="000000" w:fill="FFFFFF"/>
            <w:noWrap/>
            <w:vAlign w:val="center"/>
            <w:hideMark/>
          </w:tcPr>
          <w:p w14:paraId="2634454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-2.979*</w:t>
            </w:r>
          </w:p>
        </w:tc>
        <w:tc>
          <w:tcPr>
            <w:tcW w:w="0" w:type="auto"/>
            <w:tcBorders>
              <w:top w:val="nil"/>
              <w:left w:val="nil"/>
              <w:bottom w:val="nil"/>
              <w:right w:val="nil"/>
            </w:tcBorders>
            <w:shd w:val="clear" w:color="000000" w:fill="FFFFFF"/>
            <w:noWrap/>
            <w:vAlign w:val="center"/>
            <w:hideMark/>
          </w:tcPr>
          <w:p w14:paraId="3E52B8B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1.911***</w:t>
            </w:r>
          </w:p>
        </w:tc>
        <w:tc>
          <w:tcPr>
            <w:tcW w:w="0" w:type="auto"/>
            <w:tcBorders>
              <w:top w:val="nil"/>
              <w:left w:val="nil"/>
              <w:bottom w:val="nil"/>
              <w:right w:val="nil"/>
            </w:tcBorders>
            <w:shd w:val="clear" w:color="000000" w:fill="FFFFFF"/>
            <w:noWrap/>
            <w:vAlign w:val="center"/>
            <w:hideMark/>
          </w:tcPr>
          <w:p w14:paraId="068625D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192</w:t>
            </w:r>
          </w:p>
        </w:tc>
      </w:tr>
      <w:tr w:rsidR="009C67F2" w:rsidRPr="00935EAC" w14:paraId="0B39FB19"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7246A6B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Romania</w:t>
            </w:r>
          </w:p>
        </w:tc>
        <w:tc>
          <w:tcPr>
            <w:tcW w:w="0" w:type="auto"/>
            <w:tcBorders>
              <w:top w:val="nil"/>
              <w:left w:val="nil"/>
              <w:bottom w:val="nil"/>
              <w:right w:val="nil"/>
            </w:tcBorders>
            <w:shd w:val="clear" w:color="000000" w:fill="FFFFFF"/>
            <w:noWrap/>
            <w:vAlign w:val="center"/>
            <w:hideMark/>
          </w:tcPr>
          <w:p w14:paraId="1B76BC5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-2.323</w:t>
            </w:r>
          </w:p>
        </w:tc>
        <w:tc>
          <w:tcPr>
            <w:tcW w:w="0" w:type="auto"/>
            <w:tcBorders>
              <w:top w:val="nil"/>
              <w:left w:val="nil"/>
              <w:bottom w:val="nil"/>
              <w:right w:val="nil"/>
            </w:tcBorders>
            <w:shd w:val="clear" w:color="000000" w:fill="FFFFFF"/>
            <w:noWrap/>
            <w:vAlign w:val="center"/>
            <w:hideMark/>
          </w:tcPr>
          <w:p w14:paraId="3523DA7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-2.314**</w:t>
            </w:r>
          </w:p>
        </w:tc>
        <w:tc>
          <w:tcPr>
            <w:tcW w:w="0" w:type="auto"/>
            <w:tcBorders>
              <w:top w:val="nil"/>
              <w:left w:val="nil"/>
              <w:bottom w:val="nil"/>
              <w:right w:val="nil"/>
            </w:tcBorders>
            <w:shd w:val="clear" w:color="000000" w:fill="FFFFFF"/>
            <w:noWrap/>
            <w:vAlign w:val="center"/>
            <w:hideMark/>
          </w:tcPr>
          <w:p w14:paraId="3B814CB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-5.499***</w:t>
            </w:r>
          </w:p>
        </w:tc>
        <w:tc>
          <w:tcPr>
            <w:tcW w:w="0" w:type="auto"/>
            <w:tcBorders>
              <w:top w:val="nil"/>
              <w:left w:val="nil"/>
              <w:bottom w:val="nil"/>
              <w:right w:val="nil"/>
            </w:tcBorders>
            <w:shd w:val="clear" w:color="000000" w:fill="FFFFFF"/>
            <w:noWrap/>
            <w:vAlign w:val="center"/>
            <w:hideMark/>
          </w:tcPr>
          <w:p w14:paraId="6A69E75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-51.22***</w:t>
            </w:r>
          </w:p>
        </w:tc>
        <w:tc>
          <w:tcPr>
            <w:tcW w:w="0" w:type="auto"/>
            <w:tcBorders>
              <w:top w:val="nil"/>
              <w:left w:val="nil"/>
              <w:bottom w:val="nil"/>
              <w:right w:val="nil"/>
            </w:tcBorders>
            <w:shd w:val="clear" w:color="000000" w:fill="FFFFFF"/>
            <w:noWrap/>
            <w:vAlign w:val="center"/>
            <w:hideMark/>
          </w:tcPr>
          <w:p w14:paraId="7BDDF2E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-3.015**</w:t>
            </w:r>
          </w:p>
        </w:tc>
        <w:tc>
          <w:tcPr>
            <w:tcW w:w="0" w:type="auto"/>
            <w:tcBorders>
              <w:top w:val="nil"/>
              <w:left w:val="nil"/>
              <w:bottom w:val="nil"/>
              <w:right w:val="nil"/>
            </w:tcBorders>
            <w:shd w:val="clear" w:color="000000" w:fill="FFFFFF"/>
            <w:noWrap/>
            <w:vAlign w:val="center"/>
            <w:hideMark/>
          </w:tcPr>
          <w:p w14:paraId="0CBBE45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0.7984***</w:t>
            </w:r>
          </w:p>
        </w:tc>
        <w:tc>
          <w:tcPr>
            <w:tcW w:w="0" w:type="auto"/>
            <w:tcBorders>
              <w:top w:val="nil"/>
              <w:left w:val="nil"/>
              <w:bottom w:val="nil"/>
              <w:right w:val="nil"/>
            </w:tcBorders>
            <w:shd w:val="clear" w:color="000000" w:fill="FFFFFF"/>
            <w:noWrap/>
            <w:vAlign w:val="center"/>
            <w:hideMark/>
          </w:tcPr>
          <w:p w14:paraId="1F3339B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136</w:t>
            </w:r>
          </w:p>
        </w:tc>
      </w:tr>
      <w:tr w:rsidR="009C67F2" w:rsidRPr="00935EAC" w14:paraId="3719564A"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4A62AAD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Russian Federation</w:t>
            </w:r>
          </w:p>
        </w:tc>
        <w:tc>
          <w:tcPr>
            <w:tcW w:w="0" w:type="auto"/>
            <w:tcBorders>
              <w:top w:val="nil"/>
              <w:left w:val="nil"/>
              <w:bottom w:val="nil"/>
              <w:right w:val="nil"/>
            </w:tcBorders>
            <w:shd w:val="clear" w:color="000000" w:fill="FFFFFF"/>
            <w:noWrap/>
            <w:vAlign w:val="center"/>
            <w:hideMark/>
          </w:tcPr>
          <w:p w14:paraId="46412C9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-2.569</w:t>
            </w:r>
          </w:p>
        </w:tc>
        <w:tc>
          <w:tcPr>
            <w:tcW w:w="0" w:type="auto"/>
            <w:tcBorders>
              <w:top w:val="nil"/>
              <w:left w:val="nil"/>
              <w:bottom w:val="nil"/>
              <w:right w:val="nil"/>
            </w:tcBorders>
            <w:shd w:val="clear" w:color="000000" w:fill="FFFFFF"/>
            <w:noWrap/>
            <w:vAlign w:val="center"/>
            <w:hideMark/>
          </w:tcPr>
          <w:p w14:paraId="4D58439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-2.185**</w:t>
            </w:r>
          </w:p>
        </w:tc>
        <w:tc>
          <w:tcPr>
            <w:tcW w:w="0" w:type="auto"/>
            <w:tcBorders>
              <w:top w:val="nil"/>
              <w:left w:val="nil"/>
              <w:bottom w:val="nil"/>
              <w:right w:val="nil"/>
            </w:tcBorders>
            <w:shd w:val="clear" w:color="000000" w:fill="FFFFFF"/>
            <w:noWrap/>
            <w:vAlign w:val="center"/>
            <w:hideMark/>
          </w:tcPr>
          <w:p w14:paraId="4E25F48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-2.569</w:t>
            </w:r>
          </w:p>
        </w:tc>
        <w:tc>
          <w:tcPr>
            <w:tcW w:w="0" w:type="auto"/>
            <w:tcBorders>
              <w:top w:val="nil"/>
              <w:left w:val="nil"/>
              <w:bottom w:val="nil"/>
              <w:right w:val="nil"/>
            </w:tcBorders>
            <w:shd w:val="clear" w:color="000000" w:fill="FFFFFF"/>
            <w:noWrap/>
            <w:vAlign w:val="center"/>
            <w:hideMark/>
          </w:tcPr>
          <w:p w14:paraId="21230F3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-12.63*</w:t>
            </w:r>
          </w:p>
        </w:tc>
        <w:tc>
          <w:tcPr>
            <w:tcW w:w="0" w:type="auto"/>
            <w:tcBorders>
              <w:top w:val="nil"/>
              <w:left w:val="nil"/>
              <w:bottom w:val="nil"/>
              <w:right w:val="nil"/>
            </w:tcBorders>
            <w:shd w:val="clear" w:color="000000" w:fill="FFFFFF"/>
            <w:noWrap/>
            <w:vAlign w:val="center"/>
            <w:hideMark/>
          </w:tcPr>
          <w:p w14:paraId="590AF2C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-2.129</w:t>
            </w:r>
          </w:p>
        </w:tc>
        <w:tc>
          <w:tcPr>
            <w:tcW w:w="0" w:type="auto"/>
            <w:tcBorders>
              <w:top w:val="nil"/>
              <w:left w:val="nil"/>
              <w:bottom w:val="nil"/>
              <w:right w:val="nil"/>
            </w:tcBorders>
            <w:shd w:val="clear" w:color="000000" w:fill="FFFFFF"/>
            <w:noWrap/>
            <w:vAlign w:val="center"/>
            <w:hideMark/>
          </w:tcPr>
          <w:p w14:paraId="1411125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1.645***</w:t>
            </w:r>
          </w:p>
        </w:tc>
        <w:tc>
          <w:tcPr>
            <w:tcW w:w="0" w:type="auto"/>
            <w:tcBorders>
              <w:top w:val="nil"/>
              <w:left w:val="nil"/>
              <w:bottom w:val="nil"/>
              <w:right w:val="nil"/>
            </w:tcBorders>
            <w:shd w:val="clear" w:color="000000" w:fill="FFFFFF"/>
            <w:noWrap/>
            <w:vAlign w:val="center"/>
            <w:hideMark/>
          </w:tcPr>
          <w:p w14:paraId="6DFA519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111</w:t>
            </w:r>
          </w:p>
        </w:tc>
      </w:tr>
      <w:tr w:rsidR="009C67F2" w:rsidRPr="00935EAC" w14:paraId="12A5D9F8"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62102A8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Saudi Arabia</w:t>
            </w:r>
          </w:p>
        </w:tc>
        <w:tc>
          <w:tcPr>
            <w:tcW w:w="0" w:type="auto"/>
            <w:tcBorders>
              <w:top w:val="nil"/>
              <w:left w:val="nil"/>
              <w:bottom w:val="nil"/>
              <w:right w:val="nil"/>
            </w:tcBorders>
            <w:shd w:val="clear" w:color="000000" w:fill="FFFFFF"/>
            <w:noWrap/>
            <w:vAlign w:val="center"/>
            <w:hideMark/>
          </w:tcPr>
          <w:p w14:paraId="213C482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-2.597*</w:t>
            </w:r>
          </w:p>
        </w:tc>
        <w:tc>
          <w:tcPr>
            <w:tcW w:w="0" w:type="auto"/>
            <w:tcBorders>
              <w:top w:val="nil"/>
              <w:left w:val="nil"/>
              <w:bottom w:val="nil"/>
              <w:right w:val="nil"/>
            </w:tcBorders>
            <w:shd w:val="clear" w:color="000000" w:fill="FFFFFF"/>
            <w:noWrap/>
            <w:vAlign w:val="center"/>
            <w:hideMark/>
          </w:tcPr>
          <w:p w14:paraId="20A7A74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-1.184</w:t>
            </w:r>
          </w:p>
        </w:tc>
        <w:tc>
          <w:tcPr>
            <w:tcW w:w="0" w:type="auto"/>
            <w:tcBorders>
              <w:top w:val="nil"/>
              <w:left w:val="nil"/>
              <w:bottom w:val="nil"/>
              <w:right w:val="nil"/>
            </w:tcBorders>
            <w:shd w:val="clear" w:color="000000" w:fill="FFFFFF"/>
            <w:noWrap/>
            <w:vAlign w:val="center"/>
            <w:hideMark/>
          </w:tcPr>
          <w:p w14:paraId="5AC821D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-2.597*</w:t>
            </w:r>
          </w:p>
        </w:tc>
        <w:tc>
          <w:tcPr>
            <w:tcW w:w="0" w:type="auto"/>
            <w:tcBorders>
              <w:top w:val="nil"/>
              <w:left w:val="nil"/>
              <w:bottom w:val="nil"/>
              <w:right w:val="nil"/>
            </w:tcBorders>
            <w:shd w:val="clear" w:color="000000" w:fill="FFFFFF"/>
            <w:noWrap/>
            <w:vAlign w:val="center"/>
            <w:hideMark/>
          </w:tcPr>
          <w:p w14:paraId="4AC7C61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-10.87</w:t>
            </w:r>
          </w:p>
        </w:tc>
        <w:tc>
          <w:tcPr>
            <w:tcW w:w="0" w:type="auto"/>
            <w:tcBorders>
              <w:top w:val="nil"/>
              <w:left w:val="nil"/>
              <w:bottom w:val="nil"/>
              <w:right w:val="nil"/>
            </w:tcBorders>
            <w:shd w:val="clear" w:color="000000" w:fill="FFFFFF"/>
            <w:noWrap/>
            <w:vAlign w:val="center"/>
            <w:hideMark/>
          </w:tcPr>
          <w:p w14:paraId="6D066F8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-3.027*</w:t>
            </w:r>
          </w:p>
        </w:tc>
        <w:tc>
          <w:tcPr>
            <w:tcW w:w="0" w:type="auto"/>
            <w:tcBorders>
              <w:top w:val="nil"/>
              <w:left w:val="nil"/>
              <w:bottom w:val="nil"/>
              <w:right w:val="nil"/>
            </w:tcBorders>
            <w:shd w:val="clear" w:color="000000" w:fill="FFFFFF"/>
            <w:noWrap/>
            <w:vAlign w:val="center"/>
            <w:hideMark/>
          </w:tcPr>
          <w:p w14:paraId="2AF0DFA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3.177***</w:t>
            </w:r>
          </w:p>
        </w:tc>
        <w:tc>
          <w:tcPr>
            <w:tcW w:w="0" w:type="auto"/>
            <w:tcBorders>
              <w:top w:val="nil"/>
              <w:left w:val="nil"/>
              <w:bottom w:val="nil"/>
              <w:right w:val="nil"/>
            </w:tcBorders>
            <w:shd w:val="clear" w:color="000000" w:fill="FFFFFF"/>
            <w:noWrap/>
            <w:vAlign w:val="center"/>
            <w:hideMark/>
          </w:tcPr>
          <w:p w14:paraId="75C145F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76</w:t>
            </w:r>
          </w:p>
        </w:tc>
      </w:tr>
      <w:tr w:rsidR="009C67F2" w:rsidRPr="00935EAC" w14:paraId="6F9D5B89"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7FA7AC4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Slovak Republic</w:t>
            </w:r>
          </w:p>
        </w:tc>
        <w:tc>
          <w:tcPr>
            <w:tcW w:w="0" w:type="auto"/>
            <w:tcBorders>
              <w:top w:val="nil"/>
              <w:left w:val="nil"/>
              <w:bottom w:val="nil"/>
              <w:right w:val="nil"/>
            </w:tcBorders>
            <w:shd w:val="clear" w:color="000000" w:fill="FFFFFF"/>
            <w:noWrap/>
            <w:vAlign w:val="center"/>
            <w:hideMark/>
          </w:tcPr>
          <w:p w14:paraId="5E88E79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-2.553*</w:t>
            </w:r>
          </w:p>
        </w:tc>
        <w:tc>
          <w:tcPr>
            <w:tcW w:w="0" w:type="auto"/>
            <w:tcBorders>
              <w:top w:val="nil"/>
              <w:left w:val="nil"/>
              <w:bottom w:val="nil"/>
              <w:right w:val="nil"/>
            </w:tcBorders>
            <w:shd w:val="clear" w:color="000000" w:fill="FFFFFF"/>
            <w:noWrap/>
            <w:vAlign w:val="center"/>
            <w:hideMark/>
          </w:tcPr>
          <w:p w14:paraId="4528CCD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-1.426</w:t>
            </w:r>
          </w:p>
        </w:tc>
        <w:tc>
          <w:tcPr>
            <w:tcW w:w="0" w:type="auto"/>
            <w:tcBorders>
              <w:top w:val="nil"/>
              <w:left w:val="nil"/>
              <w:bottom w:val="nil"/>
              <w:right w:val="nil"/>
            </w:tcBorders>
            <w:shd w:val="clear" w:color="000000" w:fill="FFFFFF"/>
            <w:noWrap/>
            <w:vAlign w:val="center"/>
            <w:hideMark/>
          </w:tcPr>
          <w:p w14:paraId="4947372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-4.339***</w:t>
            </w:r>
          </w:p>
        </w:tc>
        <w:tc>
          <w:tcPr>
            <w:tcW w:w="0" w:type="auto"/>
            <w:tcBorders>
              <w:top w:val="nil"/>
              <w:left w:val="nil"/>
              <w:bottom w:val="nil"/>
              <w:right w:val="nil"/>
            </w:tcBorders>
            <w:shd w:val="clear" w:color="000000" w:fill="FFFFFF"/>
            <w:noWrap/>
            <w:vAlign w:val="center"/>
            <w:hideMark/>
          </w:tcPr>
          <w:p w14:paraId="4C1BFEA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-32.76***</w:t>
            </w:r>
          </w:p>
        </w:tc>
        <w:tc>
          <w:tcPr>
            <w:tcW w:w="0" w:type="auto"/>
            <w:tcBorders>
              <w:top w:val="nil"/>
              <w:left w:val="nil"/>
              <w:bottom w:val="nil"/>
              <w:right w:val="nil"/>
            </w:tcBorders>
            <w:shd w:val="clear" w:color="000000" w:fill="FFFFFF"/>
            <w:noWrap/>
            <w:vAlign w:val="center"/>
            <w:hideMark/>
          </w:tcPr>
          <w:p w14:paraId="69062A6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-1.947</w:t>
            </w:r>
          </w:p>
        </w:tc>
        <w:tc>
          <w:tcPr>
            <w:tcW w:w="0" w:type="auto"/>
            <w:tcBorders>
              <w:top w:val="nil"/>
              <w:left w:val="nil"/>
              <w:bottom w:val="nil"/>
              <w:right w:val="nil"/>
            </w:tcBorders>
            <w:shd w:val="clear" w:color="000000" w:fill="FFFFFF"/>
            <w:noWrap/>
            <w:vAlign w:val="center"/>
            <w:hideMark/>
          </w:tcPr>
          <w:p w14:paraId="2C96BA4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1.345***</w:t>
            </w:r>
          </w:p>
        </w:tc>
        <w:tc>
          <w:tcPr>
            <w:tcW w:w="0" w:type="auto"/>
            <w:tcBorders>
              <w:top w:val="nil"/>
              <w:left w:val="nil"/>
              <w:bottom w:val="nil"/>
              <w:right w:val="nil"/>
            </w:tcBorders>
            <w:shd w:val="clear" w:color="000000" w:fill="FFFFFF"/>
            <w:noWrap/>
            <w:vAlign w:val="center"/>
            <w:hideMark/>
          </w:tcPr>
          <w:p w14:paraId="2D74A9A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128</w:t>
            </w:r>
          </w:p>
        </w:tc>
      </w:tr>
      <w:tr w:rsidR="009C67F2" w:rsidRPr="00935EAC" w14:paraId="20538534"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02CD77E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Slovenia</w:t>
            </w:r>
          </w:p>
        </w:tc>
        <w:tc>
          <w:tcPr>
            <w:tcW w:w="0" w:type="auto"/>
            <w:tcBorders>
              <w:top w:val="nil"/>
              <w:left w:val="nil"/>
              <w:bottom w:val="nil"/>
              <w:right w:val="nil"/>
            </w:tcBorders>
            <w:shd w:val="clear" w:color="000000" w:fill="FFFFFF"/>
            <w:noWrap/>
            <w:vAlign w:val="center"/>
            <w:hideMark/>
          </w:tcPr>
          <w:p w14:paraId="1F7CB5C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-1.705</w:t>
            </w:r>
          </w:p>
        </w:tc>
        <w:tc>
          <w:tcPr>
            <w:tcW w:w="0" w:type="auto"/>
            <w:tcBorders>
              <w:top w:val="nil"/>
              <w:left w:val="nil"/>
              <w:bottom w:val="nil"/>
              <w:right w:val="nil"/>
            </w:tcBorders>
            <w:shd w:val="clear" w:color="000000" w:fill="FFFFFF"/>
            <w:noWrap/>
            <w:vAlign w:val="center"/>
            <w:hideMark/>
          </w:tcPr>
          <w:p w14:paraId="0E5742C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-1.678</w:t>
            </w:r>
          </w:p>
        </w:tc>
        <w:tc>
          <w:tcPr>
            <w:tcW w:w="0" w:type="auto"/>
            <w:tcBorders>
              <w:top w:val="nil"/>
              <w:left w:val="nil"/>
              <w:bottom w:val="nil"/>
              <w:right w:val="nil"/>
            </w:tcBorders>
            <w:shd w:val="clear" w:color="000000" w:fill="FFFFFF"/>
            <w:noWrap/>
            <w:vAlign w:val="center"/>
            <w:hideMark/>
          </w:tcPr>
          <w:p w14:paraId="44A8C95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-3.255**</w:t>
            </w:r>
          </w:p>
        </w:tc>
        <w:tc>
          <w:tcPr>
            <w:tcW w:w="0" w:type="auto"/>
            <w:tcBorders>
              <w:top w:val="nil"/>
              <w:left w:val="nil"/>
              <w:bottom w:val="nil"/>
              <w:right w:val="nil"/>
            </w:tcBorders>
            <w:shd w:val="clear" w:color="000000" w:fill="FFFFFF"/>
            <w:noWrap/>
            <w:vAlign w:val="center"/>
            <w:hideMark/>
          </w:tcPr>
          <w:p w14:paraId="1A40152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-19.94**</w:t>
            </w:r>
          </w:p>
        </w:tc>
        <w:tc>
          <w:tcPr>
            <w:tcW w:w="0" w:type="auto"/>
            <w:tcBorders>
              <w:top w:val="nil"/>
              <w:left w:val="nil"/>
              <w:bottom w:val="nil"/>
              <w:right w:val="nil"/>
            </w:tcBorders>
            <w:shd w:val="clear" w:color="000000" w:fill="FFFFFF"/>
            <w:noWrap/>
            <w:vAlign w:val="center"/>
            <w:hideMark/>
          </w:tcPr>
          <w:p w14:paraId="27781BC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-1.813</w:t>
            </w:r>
          </w:p>
        </w:tc>
        <w:tc>
          <w:tcPr>
            <w:tcW w:w="0" w:type="auto"/>
            <w:tcBorders>
              <w:top w:val="nil"/>
              <w:left w:val="nil"/>
              <w:bottom w:val="nil"/>
              <w:right w:val="nil"/>
            </w:tcBorders>
            <w:shd w:val="clear" w:color="000000" w:fill="FFFFFF"/>
            <w:noWrap/>
            <w:vAlign w:val="center"/>
            <w:hideMark/>
          </w:tcPr>
          <w:p w14:paraId="45CEC4B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5.816***</w:t>
            </w:r>
          </w:p>
        </w:tc>
        <w:tc>
          <w:tcPr>
            <w:tcW w:w="0" w:type="auto"/>
            <w:tcBorders>
              <w:top w:val="nil"/>
              <w:left w:val="nil"/>
              <w:bottom w:val="nil"/>
              <w:right w:val="nil"/>
            </w:tcBorders>
            <w:shd w:val="clear" w:color="000000" w:fill="FFFFFF"/>
            <w:noWrap/>
            <w:vAlign w:val="center"/>
            <w:hideMark/>
          </w:tcPr>
          <w:p w14:paraId="285D5A0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120</w:t>
            </w:r>
          </w:p>
        </w:tc>
      </w:tr>
      <w:tr w:rsidR="009C67F2" w:rsidRPr="00935EAC" w14:paraId="6BF1D2F8"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3F29DA6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South Africa</w:t>
            </w:r>
          </w:p>
        </w:tc>
        <w:tc>
          <w:tcPr>
            <w:tcW w:w="0" w:type="auto"/>
            <w:tcBorders>
              <w:top w:val="nil"/>
              <w:left w:val="nil"/>
              <w:bottom w:val="nil"/>
              <w:right w:val="nil"/>
            </w:tcBorders>
            <w:shd w:val="clear" w:color="000000" w:fill="FFFFFF"/>
            <w:noWrap/>
            <w:vAlign w:val="center"/>
            <w:hideMark/>
          </w:tcPr>
          <w:p w14:paraId="43ABA7C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-4.805***</w:t>
            </w:r>
          </w:p>
        </w:tc>
        <w:tc>
          <w:tcPr>
            <w:tcW w:w="0" w:type="auto"/>
            <w:tcBorders>
              <w:top w:val="nil"/>
              <w:left w:val="nil"/>
              <w:bottom w:val="nil"/>
              <w:right w:val="nil"/>
            </w:tcBorders>
            <w:shd w:val="clear" w:color="000000" w:fill="FFFFFF"/>
            <w:noWrap/>
            <w:vAlign w:val="center"/>
            <w:hideMark/>
          </w:tcPr>
          <w:p w14:paraId="2B51919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-3.935***</w:t>
            </w:r>
          </w:p>
        </w:tc>
        <w:tc>
          <w:tcPr>
            <w:tcW w:w="0" w:type="auto"/>
            <w:tcBorders>
              <w:top w:val="nil"/>
              <w:left w:val="nil"/>
              <w:bottom w:val="nil"/>
              <w:right w:val="nil"/>
            </w:tcBorders>
            <w:shd w:val="clear" w:color="000000" w:fill="FFFFFF"/>
            <w:noWrap/>
            <w:vAlign w:val="center"/>
            <w:hideMark/>
          </w:tcPr>
          <w:p w14:paraId="734BC63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-4.978***</w:t>
            </w:r>
          </w:p>
        </w:tc>
        <w:tc>
          <w:tcPr>
            <w:tcW w:w="0" w:type="auto"/>
            <w:tcBorders>
              <w:top w:val="nil"/>
              <w:left w:val="nil"/>
              <w:bottom w:val="nil"/>
              <w:right w:val="nil"/>
            </w:tcBorders>
            <w:shd w:val="clear" w:color="000000" w:fill="FFFFFF"/>
            <w:noWrap/>
            <w:vAlign w:val="center"/>
            <w:hideMark/>
          </w:tcPr>
          <w:p w14:paraId="3D0117A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-45.35***</w:t>
            </w:r>
          </w:p>
        </w:tc>
        <w:tc>
          <w:tcPr>
            <w:tcW w:w="0" w:type="auto"/>
            <w:tcBorders>
              <w:top w:val="nil"/>
              <w:left w:val="nil"/>
              <w:bottom w:val="nil"/>
              <w:right w:val="nil"/>
            </w:tcBorders>
            <w:shd w:val="clear" w:color="000000" w:fill="FFFFFF"/>
            <w:noWrap/>
            <w:vAlign w:val="center"/>
            <w:hideMark/>
          </w:tcPr>
          <w:p w14:paraId="6DF6626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-4.844***</w:t>
            </w:r>
          </w:p>
        </w:tc>
        <w:tc>
          <w:tcPr>
            <w:tcW w:w="0" w:type="auto"/>
            <w:tcBorders>
              <w:top w:val="nil"/>
              <w:left w:val="nil"/>
              <w:bottom w:val="nil"/>
              <w:right w:val="nil"/>
            </w:tcBorders>
            <w:shd w:val="clear" w:color="000000" w:fill="FFFFFF"/>
            <w:noWrap/>
            <w:vAlign w:val="center"/>
            <w:hideMark/>
          </w:tcPr>
          <w:p w14:paraId="202ABEE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1.44***</w:t>
            </w:r>
          </w:p>
        </w:tc>
        <w:tc>
          <w:tcPr>
            <w:tcW w:w="0" w:type="auto"/>
            <w:tcBorders>
              <w:top w:val="nil"/>
              <w:left w:val="nil"/>
              <w:bottom w:val="nil"/>
              <w:right w:val="nil"/>
            </w:tcBorders>
            <w:shd w:val="clear" w:color="000000" w:fill="FFFFFF"/>
            <w:noWrap/>
            <w:vAlign w:val="center"/>
            <w:hideMark/>
          </w:tcPr>
          <w:p w14:paraId="22E951B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260</w:t>
            </w:r>
          </w:p>
        </w:tc>
      </w:tr>
      <w:tr w:rsidR="009C67F2" w:rsidRPr="00935EAC" w14:paraId="3799FFA1"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373751F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Spain</w:t>
            </w:r>
          </w:p>
        </w:tc>
        <w:tc>
          <w:tcPr>
            <w:tcW w:w="0" w:type="auto"/>
            <w:tcBorders>
              <w:top w:val="nil"/>
              <w:left w:val="nil"/>
              <w:bottom w:val="nil"/>
              <w:right w:val="nil"/>
            </w:tcBorders>
            <w:shd w:val="clear" w:color="000000" w:fill="FFFFFF"/>
            <w:noWrap/>
            <w:vAlign w:val="center"/>
            <w:hideMark/>
          </w:tcPr>
          <w:p w14:paraId="6050D49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-1.976</w:t>
            </w:r>
          </w:p>
        </w:tc>
        <w:tc>
          <w:tcPr>
            <w:tcW w:w="0" w:type="auto"/>
            <w:tcBorders>
              <w:top w:val="nil"/>
              <w:left w:val="nil"/>
              <w:bottom w:val="nil"/>
              <w:right w:val="nil"/>
            </w:tcBorders>
            <w:shd w:val="clear" w:color="000000" w:fill="FFFFFF"/>
            <w:noWrap/>
            <w:vAlign w:val="center"/>
            <w:hideMark/>
          </w:tcPr>
          <w:p w14:paraId="17F8667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-1.443</w:t>
            </w:r>
          </w:p>
        </w:tc>
        <w:tc>
          <w:tcPr>
            <w:tcW w:w="0" w:type="auto"/>
            <w:tcBorders>
              <w:top w:val="nil"/>
              <w:left w:val="nil"/>
              <w:bottom w:val="nil"/>
              <w:right w:val="nil"/>
            </w:tcBorders>
            <w:shd w:val="clear" w:color="000000" w:fill="FFFFFF"/>
            <w:noWrap/>
            <w:vAlign w:val="center"/>
            <w:hideMark/>
          </w:tcPr>
          <w:p w14:paraId="2F80CE1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-1.673</w:t>
            </w:r>
          </w:p>
        </w:tc>
        <w:tc>
          <w:tcPr>
            <w:tcW w:w="0" w:type="auto"/>
            <w:tcBorders>
              <w:top w:val="nil"/>
              <w:left w:val="nil"/>
              <w:bottom w:val="nil"/>
              <w:right w:val="nil"/>
            </w:tcBorders>
            <w:shd w:val="clear" w:color="000000" w:fill="FFFFFF"/>
            <w:noWrap/>
            <w:vAlign w:val="center"/>
            <w:hideMark/>
          </w:tcPr>
          <w:p w14:paraId="7B6FD5F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-6.134</w:t>
            </w:r>
          </w:p>
        </w:tc>
        <w:tc>
          <w:tcPr>
            <w:tcW w:w="0" w:type="auto"/>
            <w:tcBorders>
              <w:top w:val="nil"/>
              <w:left w:val="nil"/>
              <w:bottom w:val="nil"/>
              <w:right w:val="nil"/>
            </w:tcBorders>
            <w:shd w:val="clear" w:color="000000" w:fill="FFFFFF"/>
            <w:noWrap/>
            <w:vAlign w:val="center"/>
            <w:hideMark/>
          </w:tcPr>
          <w:p w14:paraId="0C6F939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-2.043</w:t>
            </w:r>
          </w:p>
        </w:tc>
        <w:tc>
          <w:tcPr>
            <w:tcW w:w="0" w:type="auto"/>
            <w:tcBorders>
              <w:top w:val="nil"/>
              <w:left w:val="nil"/>
              <w:bottom w:val="nil"/>
              <w:right w:val="nil"/>
            </w:tcBorders>
            <w:shd w:val="clear" w:color="000000" w:fill="FFFFFF"/>
            <w:noWrap/>
            <w:vAlign w:val="center"/>
            <w:hideMark/>
          </w:tcPr>
          <w:p w14:paraId="2F7D9FE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2.944***</w:t>
            </w:r>
          </w:p>
        </w:tc>
        <w:tc>
          <w:tcPr>
            <w:tcW w:w="0" w:type="auto"/>
            <w:tcBorders>
              <w:top w:val="nil"/>
              <w:left w:val="nil"/>
              <w:bottom w:val="nil"/>
              <w:right w:val="nil"/>
            </w:tcBorders>
            <w:shd w:val="clear" w:color="000000" w:fill="FFFFFF"/>
            <w:noWrap/>
            <w:vAlign w:val="center"/>
            <w:hideMark/>
          </w:tcPr>
          <w:p w14:paraId="016C6CE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200</w:t>
            </w:r>
          </w:p>
        </w:tc>
      </w:tr>
      <w:tr w:rsidR="009C67F2" w:rsidRPr="00935EAC" w14:paraId="7E2116B6"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29F0A20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Sri Lanka</w:t>
            </w:r>
          </w:p>
        </w:tc>
        <w:tc>
          <w:tcPr>
            <w:tcW w:w="0" w:type="auto"/>
            <w:tcBorders>
              <w:top w:val="nil"/>
              <w:left w:val="nil"/>
              <w:bottom w:val="nil"/>
              <w:right w:val="nil"/>
            </w:tcBorders>
            <w:shd w:val="clear" w:color="000000" w:fill="FFFFFF"/>
            <w:noWrap/>
            <w:vAlign w:val="center"/>
            <w:hideMark/>
          </w:tcPr>
          <w:p w14:paraId="0F85948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-5.02***</w:t>
            </w:r>
          </w:p>
        </w:tc>
        <w:tc>
          <w:tcPr>
            <w:tcW w:w="0" w:type="auto"/>
            <w:tcBorders>
              <w:top w:val="nil"/>
              <w:left w:val="nil"/>
              <w:bottom w:val="nil"/>
              <w:right w:val="nil"/>
            </w:tcBorders>
            <w:shd w:val="clear" w:color="000000" w:fill="FFFFFF"/>
            <w:noWrap/>
            <w:vAlign w:val="center"/>
            <w:hideMark/>
          </w:tcPr>
          <w:p w14:paraId="129EF32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-2.342**</w:t>
            </w:r>
          </w:p>
        </w:tc>
        <w:tc>
          <w:tcPr>
            <w:tcW w:w="0" w:type="auto"/>
            <w:tcBorders>
              <w:top w:val="nil"/>
              <w:left w:val="nil"/>
              <w:bottom w:val="nil"/>
              <w:right w:val="nil"/>
            </w:tcBorders>
            <w:shd w:val="clear" w:color="000000" w:fill="FFFFFF"/>
            <w:noWrap/>
            <w:vAlign w:val="center"/>
            <w:hideMark/>
          </w:tcPr>
          <w:p w14:paraId="76E2F44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-6.873***</w:t>
            </w:r>
          </w:p>
        </w:tc>
        <w:tc>
          <w:tcPr>
            <w:tcW w:w="0" w:type="auto"/>
            <w:tcBorders>
              <w:top w:val="nil"/>
              <w:left w:val="nil"/>
              <w:bottom w:val="nil"/>
              <w:right w:val="nil"/>
            </w:tcBorders>
            <w:shd w:val="clear" w:color="000000" w:fill="FFFFFF"/>
            <w:noWrap/>
            <w:vAlign w:val="center"/>
            <w:hideMark/>
          </w:tcPr>
          <w:p w14:paraId="7BC27B8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-74.19***</w:t>
            </w:r>
          </w:p>
        </w:tc>
        <w:tc>
          <w:tcPr>
            <w:tcW w:w="0" w:type="auto"/>
            <w:tcBorders>
              <w:top w:val="nil"/>
              <w:left w:val="nil"/>
              <w:bottom w:val="nil"/>
              <w:right w:val="nil"/>
            </w:tcBorders>
            <w:shd w:val="clear" w:color="000000" w:fill="FFFFFF"/>
            <w:noWrap/>
            <w:vAlign w:val="center"/>
            <w:hideMark/>
          </w:tcPr>
          <w:p w14:paraId="6F0A7A6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-4.116***</w:t>
            </w:r>
          </w:p>
        </w:tc>
        <w:tc>
          <w:tcPr>
            <w:tcW w:w="0" w:type="auto"/>
            <w:tcBorders>
              <w:top w:val="nil"/>
              <w:left w:val="nil"/>
              <w:bottom w:val="nil"/>
              <w:right w:val="nil"/>
            </w:tcBorders>
            <w:shd w:val="clear" w:color="000000" w:fill="FFFFFF"/>
            <w:noWrap/>
            <w:vAlign w:val="center"/>
            <w:hideMark/>
          </w:tcPr>
          <w:p w14:paraId="0006CBD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1.805***</w:t>
            </w:r>
          </w:p>
        </w:tc>
        <w:tc>
          <w:tcPr>
            <w:tcW w:w="0" w:type="auto"/>
            <w:tcBorders>
              <w:top w:val="nil"/>
              <w:left w:val="nil"/>
              <w:bottom w:val="nil"/>
              <w:right w:val="nil"/>
            </w:tcBorders>
            <w:shd w:val="clear" w:color="000000" w:fill="FFFFFF"/>
            <w:noWrap/>
            <w:vAlign w:val="center"/>
            <w:hideMark/>
          </w:tcPr>
          <w:p w14:paraId="1FC5B0E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177</w:t>
            </w:r>
          </w:p>
        </w:tc>
      </w:tr>
      <w:tr w:rsidR="009C67F2" w:rsidRPr="00935EAC" w14:paraId="2951045B"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56714EC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Sweden</w:t>
            </w:r>
          </w:p>
        </w:tc>
        <w:tc>
          <w:tcPr>
            <w:tcW w:w="0" w:type="auto"/>
            <w:tcBorders>
              <w:top w:val="nil"/>
              <w:left w:val="nil"/>
              <w:bottom w:val="nil"/>
              <w:right w:val="nil"/>
            </w:tcBorders>
            <w:shd w:val="clear" w:color="000000" w:fill="FFFFFF"/>
            <w:noWrap/>
            <w:vAlign w:val="center"/>
            <w:hideMark/>
          </w:tcPr>
          <w:p w14:paraId="53E93D6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-1.151</w:t>
            </w:r>
          </w:p>
        </w:tc>
        <w:tc>
          <w:tcPr>
            <w:tcW w:w="0" w:type="auto"/>
            <w:tcBorders>
              <w:top w:val="nil"/>
              <w:left w:val="nil"/>
              <w:bottom w:val="nil"/>
              <w:right w:val="nil"/>
            </w:tcBorders>
            <w:shd w:val="clear" w:color="000000" w:fill="FFFFFF"/>
            <w:noWrap/>
            <w:vAlign w:val="center"/>
            <w:hideMark/>
          </w:tcPr>
          <w:p w14:paraId="35E683D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-0.5589</w:t>
            </w:r>
          </w:p>
        </w:tc>
        <w:tc>
          <w:tcPr>
            <w:tcW w:w="0" w:type="auto"/>
            <w:tcBorders>
              <w:top w:val="nil"/>
              <w:left w:val="nil"/>
              <w:bottom w:val="nil"/>
              <w:right w:val="nil"/>
            </w:tcBorders>
            <w:shd w:val="clear" w:color="000000" w:fill="FFFFFF"/>
            <w:noWrap/>
            <w:vAlign w:val="center"/>
            <w:hideMark/>
          </w:tcPr>
          <w:p w14:paraId="675BE77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-2.317</w:t>
            </w:r>
          </w:p>
        </w:tc>
        <w:tc>
          <w:tcPr>
            <w:tcW w:w="0" w:type="auto"/>
            <w:tcBorders>
              <w:top w:val="nil"/>
              <w:left w:val="nil"/>
              <w:bottom w:val="nil"/>
              <w:right w:val="nil"/>
            </w:tcBorders>
            <w:shd w:val="clear" w:color="000000" w:fill="FFFFFF"/>
            <w:noWrap/>
            <w:vAlign w:val="center"/>
            <w:hideMark/>
          </w:tcPr>
          <w:p w14:paraId="4BCC2B8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-11.17*</w:t>
            </w:r>
          </w:p>
        </w:tc>
        <w:tc>
          <w:tcPr>
            <w:tcW w:w="0" w:type="auto"/>
            <w:tcBorders>
              <w:top w:val="nil"/>
              <w:left w:val="nil"/>
              <w:bottom w:val="nil"/>
              <w:right w:val="nil"/>
            </w:tcBorders>
            <w:shd w:val="clear" w:color="000000" w:fill="FFFFFF"/>
            <w:noWrap/>
            <w:vAlign w:val="center"/>
            <w:hideMark/>
          </w:tcPr>
          <w:p w14:paraId="72ADDB3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-2.155</w:t>
            </w:r>
          </w:p>
        </w:tc>
        <w:tc>
          <w:tcPr>
            <w:tcW w:w="0" w:type="auto"/>
            <w:tcBorders>
              <w:top w:val="nil"/>
              <w:left w:val="nil"/>
              <w:bottom w:val="nil"/>
              <w:right w:val="nil"/>
            </w:tcBorders>
            <w:shd w:val="clear" w:color="000000" w:fill="FFFFFF"/>
            <w:noWrap/>
            <w:vAlign w:val="center"/>
            <w:hideMark/>
          </w:tcPr>
          <w:p w14:paraId="12BEACC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13.55***</w:t>
            </w:r>
          </w:p>
        </w:tc>
        <w:tc>
          <w:tcPr>
            <w:tcW w:w="0" w:type="auto"/>
            <w:tcBorders>
              <w:top w:val="nil"/>
              <w:left w:val="nil"/>
              <w:bottom w:val="nil"/>
              <w:right w:val="nil"/>
            </w:tcBorders>
            <w:shd w:val="clear" w:color="000000" w:fill="FFFFFF"/>
            <w:noWrap/>
            <w:vAlign w:val="center"/>
            <w:hideMark/>
          </w:tcPr>
          <w:p w14:paraId="37F767A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200</w:t>
            </w:r>
          </w:p>
        </w:tc>
      </w:tr>
      <w:tr w:rsidR="009C67F2" w:rsidRPr="00935EAC" w14:paraId="75A38ABA"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2420ECD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Switzerland</w:t>
            </w:r>
          </w:p>
        </w:tc>
        <w:tc>
          <w:tcPr>
            <w:tcW w:w="0" w:type="auto"/>
            <w:tcBorders>
              <w:top w:val="nil"/>
              <w:left w:val="nil"/>
              <w:bottom w:val="nil"/>
              <w:right w:val="nil"/>
            </w:tcBorders>
            <w:shd w:val="clear" w:color="000000" w:fill="FFFFFF"/>
            <w:noWrap/>
            <w:vAlign w:val="center"/>
            <w:hideMark/>
          </w:tcPr>
          <w:p w14:paraId="1E2B403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-4.003***</w:t>
            </w:r>
          </w:p>
        </w:tc>
        <w:tc>
          <w:tcPr>
            <w:tcW w:w="0" w:type="auto"/>
            <w:tcBorders>
              <w:top w:val="nil"/>
              <w:left w:val="nil"/>
              <w:bottom w:val="nil"/>
              <w:right w:val="nil"/>
            </w:tcBorders>
            <w:shd w:val="clear" w:color="000000" w:fill="FFFFFF"/>
            <w:noWrap/>
            <w:vAlign w:val="center"/>
            <w:hideMark/>
          </w:tcPr>
          <w:p w14:paraId="7C4B295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-1.583</w:t>
            </w:r>
          </w:p>
        </w:tc>
        <w:tc>
          <w:tcPr>
            <w:tcW w:w="0" w:type="auto"/>
            <w:tcBorders>
              <w:top w:val="nil"/>
              <w:left w:val="nil"/>
              <w:bottom w:val="nil"/>
              <w:right w:val="nil"/>
            </w:tcBorders>
            <w:shd w:val="clear" w:color="000000" w:fill="FFFFFF"/>
            <w:noWrap/>
            <w:vAlign w:val="center"/>
            <w:hideMark/>
          </w:tcPr>
          <w:p w14:paraId="6A7EB52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-7.724***</w:t>
            </w:r>
          </w:p>
        </w:tc>
        <w:tc>
          <w:tcPr>
            <w:tcW w:w="0" w:type="auto"/>
            <w:tcBorders>
              <w:top w:val="nil"/>
              <w:left w:val="nil"/>
              <w:bottom w:val="nil"/>
              <w:right w:val="nil"/>
            </w:tcBorders>
            <w:shd w:val="clear" w:color="000000" w:fill="FFFFFF"/>
            <w:noWrap/>
            <w:vAlign w:val="center"/>
            <w:hideMark/>
          </w:tcPr>
          <w:p w14:paraId="19F816B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-93.14***</w:t>
            </w:r>
          </w:p>
        </w:tc>
        <w:tc>
          <w:tcPr>
            <w:tcW w:w="0" w:type="auto"/>
            <w:tcBorders>
              <w:top w:val="nil"/>
              <w:left w:val="nil"/>
              <w:bottom w:val="nil"/>
              <w:right w:val="nil"/>
            </w:tcBorders>
            <w:shd w:val="clear" w:color="000000" w:fill="FFFFFF"/>
            <w:noWrap/>
            <w:vAlign w:val="center"/>
            <w:hideMark/>
          </w:tcPr>
          <w:p w14:paraId="5D8B84B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-4.374***</w:t>
            </w:r>
          </w:p>
        </w:tc>
        <w:tc>
          <w:tcPr>
            <w:tcW w:w="0" w:type="auto"/>
            <w:tcBorders>
              <w:top w:val="nil"/>
              <w:left w:val="nil"/>
              <w:bottom w:val="nil"/>
              <w:right w:val="nil"/>
            </w:tcBorders>
            <w:shd w:val="clear" w:color="000000" w:fill="FFFFFF"/>
            <w:noWrap/>
            <w:vAlign w:val="center"/>
            <w:hideMark/>
          </w:tcPr>
          <w:p w14:paraId="4C6FBA2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4.598***</w:t>
            </w:r>
          </w:p>
        </w:tc>
        <w:tc>
          <w:tcPr>
            <w:tcW w:w="0" w:type="auto"/>
            <w:tcBorders>
              <w:top w:val="nil"/>
              <w:left w:val="nil"/>
              <w:bottom w:val="nil"/>
              <w:right w:val="nil"/>
            </w:tcBorders>
            <w:shd w:val="clear" w:color="000000" w:fill="FFFFFF"/>
            <w:noWrap/>
            <w:vAlign w:val="center"/>
            <w:hideMark/>
          </w:tcPr>
          <w:p w14:paraId="754510D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212</w:t>
            </w:r>
          </w:p>
        </w:tc>
      </w:tr>
      <w:tr w:rsidR="009C67F2" w:rsidRPr="00935EAC" w14:paraId="407E9B13"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1E0DE93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Taiwan</w:t>
            </w:r>
          </w:p>
        </w:tc>
        <w:tc>
          <w:tcPr>
            <w:tcW w:w="0" w:type="auto"/>
            <w:tcBorders>
              <w:top w:val="nil"/>
              <w:left w:val="nil"/>
              <w:bottom w:val="nil"/>
              <w:right w:val="nil"/>
            </w:tcBorders>
            <w:shd w:val="clear" w:color="000000" w:fill="FFFFFF"/>
            <w:noWrap/>
            <w:vAlign w:val="center"/>
            <w:hideMark/>
          </w:tcPr>
          <w:p w14:paraId="16B8051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-2.306</w:t>
            </w:r>
          </w:p>
        </w:tc>
        <w:tc>
          <w:tcPr>
            <w:tcW w:w="0" w:type="auto"/>
            <w:tcBorders>
              <w:top w:val="nil"/>
              <w:left w:val="nil"/>
              <w:bottom w:val="nil"/>
              <w:right w:val="nil"/>
            </w:tcBorders>
            <w:shd w:val="clear" w:color="000000" w:fill="FFFFFF"/>
            <w:noWrap/>
            <w:vAlign w:val="center"/>
            <w:hideMark/>
          </w:tcPr>
          <w:p w14:paraId="2CA8531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-0.7968</w:t>
            </w:r>
          </w:p>
        </w:tc>
        <w:tc>
          <w:tcPr>
            <w:tcW w:w="0" w:type="auto"/>
            <w:tcBorders>
              <w:top w:val="nil"/>
              <w:left w:val="nil"/>
              <w:bottom w:val="nil"/>
              <w:right w:val="nil"/>
            </w:tcBorders>
            <w:shd w:val="clear" w:color="000000" w:fill="FFFFFF"/>
            <w:noWrap/>
            <w:vAlign w:val="center"/>
            <w:hideMark/>
          </w:tcPr>
          <w:p w14:paraId="50879BD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-3.647***</w:t>
            </w:r>
          </w:p>
        </w:tc>
        <w:tc>
          <w:tcPr>
            <w:tcW w:w="0" w:type="auto"/>
            <w:tcBorders>
              <w:top w:val="nil"/>
              <w:left w:val="nil"/>
              <w:bottom w:val="nil"/>
              <w:right w:val="nil"/>
            </w:tcBorders>
            <w:shd w:val="clear" w:color="000000" w:fill="FFFFFF"/>
            <w:noWrap/>
            <w:vAlign w:val="center"/>
            <w:hideMark/>
          </w:tcPr>
          <w:p w14:paraId="7D72CA8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-20.24**</w:t>
            </w:r>
          </w:p>
        </w:tc>
        <w:tc>
          <w:tcPr>
            <w:tcW w:w="0" w:type="auto"/>
            <w:tcBorders>
              <w:top w:val="nil"/>
              <w:left w:val="nil"/>
              <w:bottom w:val="nil"/>
              <w:right w:val="nil"/>
            </w:tcBorders>
            <w:shd w:val="clear" w:color="000000" w:fill="FFFFFF"/>
            <w:noWrap/>
            <w:vAlign w:val="center"/>
            <w:hideMark/>
          </w:tcPr>
          <w:p w14:paraId="37D01F5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-1.776</w:t>
            </w:r>
          </w:p>
        </w:tc>
        <w:tc>
          <w:tcPr>
            <w:tcW w:w="0" w:type="auto"/>
            <w:tcBorders>
              <w:top w:val="nil"/>
              <w:left w:val="nil"/>
              <w:bottom w:val="nil"/>
              <w:right w:val="nil"/>
            </w:tcBorders>
            <w:shd w:val="clear" w:color="000000" w:fill="FFFFFF"/>
            <w:noWrap/>
            <w:vAlign w:val="center"/>
            <w:hideMark/>
          </w:tcPr>
          <w:p w14:paraId="465024E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2.004***</w:t>
            </w:r>
          </w:p>
        </w:tc>
        <w:tc>
          <w:tcPr>
            <w:tcW w:w="0" w:type="auto"/>
            <w:tcBorders>
              <w:top w:val="nil"/>
              <w:left w:val="nil"/>
              <w:bottom w:val="nil"/>
              <w:right w:val="nil"/>
            </w:tcBorders>
            <w:shd w:val="clear" w:color="000000" w:fill="FFFFFF"/>
            <w:noWrap/>
            <w:vAlign w:val="center"/>
            <w:hideMark/>
          </w:tcPr>
          <w:p w14:paraId="0BA47DE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156</w:t>
            </w:r>
          </w:p>
        </w:tc>
      </w:tr>
      <w:tr w:rsidR="009C67F2" w:rsidRPr="00935EAC" w14:paraId="28DE7146"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540FFC6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Thailand</w:t>
            </w:r>
          </w:p>
        </w:tc>
        <w:tc>
          <w:tcPr>
            <w:tcW w:w="0" w:type="auto"/>
            <w:tcBorders>
              <w:top w:val="nil"/>
              <w:left w:val="nil"/>
              <w:bottom w:val="nil"/>
              <w:right w:val="nil"/>
            </w:tcBorders>
            <w:shd w:val="clear" w:color="000000" w:fill="FFFFFF"/>
            <w:noWrap/>
            <w:vAlign w:val="center"/>
            <w:hideMark/>
          </w:tcPr>
          <w:p w14:paraId="045390E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-2.453</w:t>
            </w:r>
          </w:p>
        </w:tc>
        <w:tc>
          <w:tcPr>
            <w:tcW w:w="0" w:type="auto"/>
            <w:tcBorders>
              <w:top w:val="nil"/>
              <w:left w:val="nil"/>
              <w:bottom w:val="nil"/>
              <w:right w:val="nil"/>
            </w:tcBorders>
            <w:shd w:val="clear" w:color="000000" w:fill="FFFFFF"/>
            <w:noWrap/>
            <w:vAlign w:val="center"/>
            <w:hideMark/>
          </w:tcPr>
          <w:p w14:paraId="14E9D2D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-2.224**</w:t>
            </w:r>
          </w:p>
        </w:tc>
        <w:tc>
          <w:tcPr>
            <w:tcW w:w="0" w:type="auto"/>
            <w:tcBorders>
              <w:top w:val="nil"/>
              <w:left w:val="nil"/>
              <w:bottom w:val="nil"/>
              <w:right w:val="nil"/>
            </w:tcBorders>
            <w:shd w:val="clear" w:color="000000" w:fill="FFFFFF"/>
            <w:noWrap/>
            <w:vAlign w:val="center"/>
            <w:hideMark/>
          </w:tcPr>
          <w:p w14:paraId="694975E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-3.06**</w:t>
            </w:r>
          </w:p>
        </w:tc>
        <w:tc>
          <w:tcPr>
            <w:tcW w:w="0" w:type="auto"/>
            <w:tcBorders>
              <w:top w:val="nil"/>
              <w:left w:val="nil"/>
              <w:bottom w:val="nil"/>
              <w:right w:val="nil"/>
            </w:tcBorders>
            <w:shd w:val="clear" w:color="000000" w:fill="FFFFFF"/>
            <w:noWrap/>
            <w:vAlign w:val="center"/>
            <w:hideMark/>
          </w:tcPr>
          <w:p w14:paraId="423D719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-18.6**</w:t>
            </w:r>
          </w:p>
        </w:tc>
        <w:tc>
          <w:tcPr>
            <w:tcW w:w="0" w:type="auto"/>
            <w:tcBorders>
              <w:top w:val="nil"/>
              <w:left w:val="nil"/>
              <w:bottom w:val="nil"/>
              <w:right w:val="nil"/>
            </w:tcBorders>
            <w:shd w:val="clear" w:color="000000" w:fill="FFFFFF"/>
            <w:noWrap/>
            <w:vAlign w:val="center"/>
            <w:hideMark/>
          </w:tcPr>
          <w:p w14:paraId="4A3C8B8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-3.497**</w:t>
            </w:r>
          </w:p>
        </w:tc>
        <w:tc>
          <w:tcPr>
            <w:tcW w:w="0" w:type="auto"/>
            <w:tcBorders>
              <w:top w:val="nil"/>
              <w:left w:val="nil"/>
              <w:bottom w:val="nil"/>
              <w:right w:val="nil"/>
            </w:tcBorders>
            <w:shd w:val="clear" w:color="000000" w:fill="FFFFFF"/>
            <w:noWrap/>
            <w:vAlign w:val="center"/>
            <w:hideMark/>
          </w:tcPr>
          <w:p w14:paraId="0FC248D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8.055***</w:t>
            </w:r>
          </w:p>
        </w:tc>
        <w:tc>
          <w:tcPr>
            <w:tcW w:w="0" w:type="auto"/>
            <w:tcBorders>
              <w:top w:val="nil"/>
              <w:left w:val="nil"/>
              <w:bottom w:val="nil"/>
              <w:right w:val="nil"/>
            </w:tcBorders>
            <w:shd w:val="clear" w:color="000000" w:fill="FFFFFF"/>
            <w:noWrap/>
            <w:vAlign w:val="center"/>
            <w:hideMark/>
          </w:tcPr>
          <w:p w14:paraId="2B70FE7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176</w:t>
            </w:r>
          </w:p>
        </w:tc>
      </w:tr>
      <w:tr w:rsidR="009C67F2" w:rsidRPr="00935EAC" w14:paraId="28A54B97"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78AC48B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Turkey</w:t>
            </w:r>
          </w:p>
        </w:tc>
        <w:tc>
          <w:tcPr>
            <w:tcW w:w="0" w:type="auto"/>
            <w:tcBorders>
              <w:top w:val="nil"/>
              <w:left w:val="nil"/>
              <w:bottom w:val="nil"/>
              <w:right w:val="nil"/>
            </w:tcBorders>
            <w:shd w:val="clear" w:color="000000" w:fill="FFFFFF"/>
            <w:noWrap/>
            <w:vAlign w:val="center"/>
            <w:hideMark/>
          </w:tcPr>
          <w:p w14:paraId="046DAC5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-2.272</w:t>
            </w:r>
          </w:p>
        </w:tc>
        <w:tc>
          <w:tcPr>
            <w:tcW w:w="0" w:type="auto"/>
            <w:tcBorders>
              <w:top w:val="nil"/>
              <w:left w:val="nil"/>
              <w:bottom w:val="nil"/>
              <w:right w:val="nil"/>
            </w:tcBorders>
            <w:shd w:val="clear" w:color="000000" w:fill="FFFFFF"/>
            <w:noWrap/>
            <w:vAlign w:val="center"/>
            <w:hideMark/>
          </w:tcPr>
          <w:p w14:paraId="7E79006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-2.172**</w:t>
            </w:r>
          </w:p>
        </w:tc>
        <w:tc>
          <w:tcPr>
            <w:tcW w:w="0" w:type="auto"/>
            <w:tcBorders>
              <w:top w:val="nil"/>
              <w:left w:val="nil"/>
              <w:bottom w:val="nil"/>
              <w:right w:val="nil"/>
            </w:tcBorders>
            <w:shd w:val="clear" w:color="000000" w:fill="FFFFFF"/>
            <w:noWrap/>
            <w:vAlign w:val="center"/>
            <w:hideMark/>
          </w:tcPr>
          <w:p w14:paraId="03128E1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-4.392***</w:t>
            </w:r>
          </w:p>
        </w:tc>
        <w:tc>
          <w:tcPr>
            <w:tcW w:w="0" w:type="auto"/>
            <w:tcBorders>
              <w:top w:val="nil"/>
              <w:left w:val="nil"/>
              <w:bottom w:val="nil"/>
              <w:right w:val="nil"/>
            </w:tcBorders>
            <w:shd w:val="clear" w:color="000000" w:fill="FFFFFF"/>
            <w:noWrap/>
            <w:vAlign w:val="center"/>
            <w:hideMark/>
          </w:tcPr>
          <w:p w14:paraId="79E12A2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-34.67***</w:t>
            </w:r>
          </w:p>
        </w:tc>
        <w:tc>
          <w:tcPr>
            <w:tcW w:w="0" w:type="auto"/>
            <w:tcBorders>
              <w:top w:val="nil"/>
              <w:left w:val="nil"/>
              <w:bottom w:val="nil"/>
              <w:right w:val="nil"/>
            </w:tcBorders>
            <w:shd w:val="clear" w:color="000000" w:fill="FFFFFF"/>
            <w:noWrap/>
            <w:vAlign w:val="center"/>
            <w:hideMark/>
          </w:tcPr>
          <w:p w14:paraId="4E1BA77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-2.129</w:t>
            </w:r>
          </w:p>
        </w:tc>
        <w:tc>
          <w:tcPr>
            <w:tcW w:w="0" w:type="auto"/>
            <w:tcBorders>
              <w:top w:val="nil"/>
              <w:left w:val="nil"/>
              <w:bottom w:val="nil"/>
              <w:right w:val="nil"/>
            </w:tcBorders>
            <w:shd w:val="clear" w:color="000000" w:fill="FFFFFF"/>
            <w:noWrap/>
            <w:vAlign w:val="center"/>
            <w:hideMark/>
          </w:tcPr>
          <w:p w14:paraId="15F443B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2.682***</w:t>
            </w:r>
          </w:p>
        </w:tc>
        <w:tc>
          <w:tcPr>
            <w:tcW w:w="0" w:type="auto"/>
            <w:tcBorders>
              <w:top w:val="nil"/>
              <w:left w:val="nil"/>
              <w:bottom w:val="nil"/>
              <w:right w:val="nil"/>
            </w:tcBorders>
            <w:shd w:val="clear" w:color="000000" w:fill="FFFFFF"/>
            <w:noWrap/>
            <w:vAlign w:val="center"/>
            <w:hideMark/>
          </w:tcPr>
          <w:p w14:paraId="56D79CC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152</w:t>
            </w:r>
          </w:p>
        </w:tc>
      </w:tr>
      <w:tr w:rsidR="009C67F2" w:rsidRPr="00935EAC" w14:paraId="3B72E568"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6851B18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United Kingdom</w:t>
            </w:r>
          </w:p>
        </w:tc>
        <w:tc>
          <w:tcPr>
            <w:tcW w:w="0" w:type="auto"/>
            <w:tcBorders>
              <w:top w:val="nil"/>
              <w:left w:val="nil"/>
              <w:bottom w:val="nil"/>
              <w:right w:val="nil"/>
            </w:tcBorders>
            <w:shd w:val="clear" w:color="000000" w:fill="FFFFFF"/>
            <w:noWrap/>
            <w:vAlign w:val="center"/>
            <w:hideMark/>
          </w:tcPr>
          <w:p w14:paraId="2114616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-2.717*</w:t>
            </w:r>
          </w:p>
        </w:tc>
        <w:tc>
          <w:tcPr>
            <w:tcW w:w="0" w:type="auto"/>
            <w:tcBorders>
              <w:top w:val="nil"/>
              <w:left w:val="nil"/>
              <w:bottom w:val="nil"/>
              <w:right w:val="nil"/>
            </w:tcBorders>
            <w:shd w:val="clear" w:color="000000" w:fill="FFFFFF"/>
            <w:noWrap/>
            <w:vAlign w:val="center"/>
            <w:hideMark/>
          </w:tcPr>
          <w:p w14:paraId="25EAAD8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-2.115**</w:t>
            </w:r>
          </w:p>
        </w:tc>
        <w:tc>
          <w:tcPr>
            <w:tcW w:w="0" w:type="auto"/>
            <w:tcBorders>
              <w:top w:val="nil"/>
              <w:left w:val="nil"/>
              <w:bottom w:val="nil"/>
              <w:right w:val="nil"/>
            </w:tcBorders>
            <w:shd w:val="clear" w:color="000000" w:fill="FFFFFF"/>
            <w:noWrap/>
            <w:vAlign w:val="center"/>
            <w:hideMark/>
          </w:tcPr>
          <w:p w14:paraId="3710C5F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-5.78***</w:t>
            </w:r>
          </w:p>
        </w:tc>
        <w:tc>
          <w:tcPr>
            <w:tcW w:w="0" w:type="auto"/>
            <w:tcBorders>
              <w:top w:val="nil"/>
              <w:left w:val="nil"/>
              <w:bottom w:val="nil"/>
              <w:right w:val="nil"/>
            </w:tcBorders>
            <w:shd w:val="clear" w:color="000000" w:fill="FFFFFF"/>
            <w:noWrap/>
            <w:vAlign w:val="center"/>
            <w:hideMark/>
          </w:tcPr>
          <w:p w14:paraId="1987D3C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-59.6***</w:t>
            </w:r>
          </w:p>
        </w:tc>
        <w:tc>
          <w:tcPr>
            <w:tcW w:w="0" w:type="auto"/>
            <w:tcBorders>
              <w:top w:val="nil"/>
              <w:left w:val="nil"/>
              <w:bottom w:val="nil"/>
              <w:right w:val="nil"/>
            </w:tcBorders>
            <w:shd w:val="clear" w:color="000000" w:fill="FFFFFF"/>
            <w:noWrap/>
            <w:vAlign w:val="center"/>
            <w:hideMark/>
          </w:tcPr>
          <w:p w14:paraId="0AD519F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-3.632***</w:t>
            </w:r>
          </w:p>
        </w:tc>
        <w:tc>
          <w:tcPr>
            <w:tcW w:w="0" w:type="auto"/>
            <w:tcBorders>
              <w:top w:val="nil"/>
              <w:left w:val="nil"/>
              <w:bottom w:val="nil"/>
              <w:right w:val="nil"/>
            </w:tcBorders>
            <w:shd w:val="clear" w:color="000000" w:fill="FFFFFF"/>
            <w:noWrap/>
            <w:vAlign w:val="center"/>
            <w:hideMark/>
          </w:tcPr>
          <w:p w14:paraId="2C52F9C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10.82***</w:t>
            </w:r>
          </w:p>
        </w:tc>
        <w:tc>
          <w:tcPr>
            <w:tcW w:w="0" w:type="auto"/>
            <w:tcBorders>
              <w:top w:val="nil"/>
              <w:left w:val="nil"/>
              <w:bottom w:val="nil"/>
              <w:right w:val="nil"/>
            </w:tcBorders>
            <w:shd w:val="clear" w:color="000000" w:fill="FFFFFF"/>
            <w:noWrap/>
            <w:vAlign w:val="center"/>
            <w:hideMark/>
          </w:tcPr>
          <w:p w14:paraId="0645B66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260</w:t>
            </w:r>
          </w:p>
        </w:tc>
      </w:tr>
      <w:tr w:rsidR="009C67F2" w:rsidRPr="00935EAC" w14:paraId="00C0761D"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41D7A0C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United States</w:t>
            </w:r>
          </w:p>
        </w:tc>
        <w:tc>
          <w:tcPr>
            <w:tcW w:w="0" w:type="auto"/>
            <w:tcBorders>
              <w:top w:val="nil"/>
              <w:left w:val="nil"/>
              <w:bottom w:val="nil"/>
              <w:right w:val="nil"/>
            </w:tcBorders>
            <w:shd w:val="clear" w:color="000000" w:fill="FFFFFF"/>
            <w:noWrap/>
            <w:vAlign w:val="center"/>
            <w:hideMark/>
          </w:tcPr>
          <w:p w14:paraId="083F852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-1.797</w:t>
            </w:r>
          </w:p>
        </w:tc>
        <w:tc>
          <w:tcPr>
            <w:tcW w:w="0" w:type="auto"/>
            <w:tcBorders>
              <w:top w:val="nil"/>
              <w:left w:val="nil"/>
              <w:bottom w:val="nil"/>
              <w:right w:val="nil"/>
            </w:tcBorders>
            <w:shd w:val="clear" w:color="000000" w:fill="FFFFFF"/>
            <w:noWrap/>
            <w:vAlign w:val="center"/>
            <w:hideMark/>
          </w:tcPr>
          <w:p w14:paraId="07E4E08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-0.4857</w:t>
            </w:r>
          </w:p>
        </w:tc>
        <w:tc>
          <w:tcPr>
            <w:tcW w:w="0" w:type="auto"/>
            <w:tcBorders>
              <w:top w:val="nil"/>
              <w:left w:val="nil"/>
              <w:bottom w:val="nil"/>
              <w:right w:val="nil"/>
            </w:tcBorders>
            <w:shd w:val="clear" w:color="000000" w:fill="FFFFFF"/>
            <w:noWrap/>
            <w:vAlign w:val="center"/>
            <w:hideMark/>
          </w:tcPr>
          <w:p w14:paraId="7285371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-1.344</w:t>
            </w:r>
          </w:p>
        </w:tc>
        <w:tc>
          <w:tcPr>
            <w:tcW w:w="0" w:type="auto"/>
            <w:tcBorders>
              <w:top w:val="nil"/>
              <w:left w:val="nil"/>
              <w:bottom w:val="nil"/>
              <w:right w:val="nil"/>
            </w:tcBorders>
            <w:shd w:val="clear" w:color="000000" w:fill="FFFFFF"/>
            <w:noWrap/>
            <w:vAlign w:val="center"/>
            <w:hideMark/>
          </w:tcPr>
          <w:p w14:paraId="7BA0183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-3.841</w:t>
            </w:r>
          </w:p>
        </w:tc>
        <w:tc>
          <w:tcPr>
            <w:tcW w:w="0" w:type="auto"/>
            <w:tcBorders>
              <w:top w:val="nil"/>
              <w:left w:val="nil"/>
              <w:bottom w:val="nil"/>
              <w:right w:val="nil"/>
            </w:tcBorders>
            <w:shd w:val="clear" w:color="000000" w:fill="FFFFFF"/>
            <w:noWrap/>
            <w:vAlign w:val="center"/>
            <w:hideMark/>
          </w:tcPr>
          <w:p w14:paraId="47CEF21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-2.834*</w:t>
            </w:r>
          </w:p>
        </w:tc>
        <w:tc>
          <w:tcPr>
            <w:tcW w:w="0" w:type="auto"/>
            <w:tcBorders>
              <w:top w:val="nil"/>
              <w:left w:val="nil"/>
              <w:bottom w:val="nil"/>
              <w:right w:val="nil"/>
            </w:tcBorders>
            <w:shd w:val="clear" w:color="000000" w:fill="FFFFFF"/>
            <w:noWrap/>
            <w:vAlign w:val="center"/>
            <w:hideMark/>
          </w:tcPr>
          <w:p w14:paraId="692A480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16.7***</w:t>
            </w:r>
          </w:p>
        </w:tc>
        <w:tc>
          <w:tcPr>
            <w:tcW w:w="0" w:type="auto"/>
            <w:tcBorders>
              <w:top w:val="nil"/>
              <w:left w:val="nil"/>
              <w:bottom w:val="nil"/>
              <w:right w:val="nil"/>
            </w:tcBorders>
            <w:shd w:val="clear" w:color="000000" w:fill="FFFFFF"/>
            <w:noWrap/>
            <w:vAlign w:val="center"/>
            <w:hideMark/>
          </w:tcPr>
          <w:p w14:paraId="161A0F0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260</w:t>
            </w:r>
          </w:p>
        </w:tc>
      </w:tr>
      <w:tr w:rsidR="009C67F2" w:rsidRPr="00935EAC" w14:paraId="2788B008"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727FEAD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Uruguay</w:t>
            </w:r>
          </w:p>
        </w:tc>
        <w:tc>
          <w:tcPr>
            <w:tcW w:w="0" w:type="auto"/>
            <w:tcBorders>
              <w:top w:val="nil"/>
              <w:left w:val="nil"/>
              <w:bottom w:val="nil"/>
              <w:right w:val="nil"/>
            </w:tcBorders>
            <w:shd w:val="clear" w:color="000000" w:fill="FFFFFF"/>
            <w:noWrap/>
            <w:vAlign w:val="center"/>
            <w:hideMark/>
          </w:tcPr>
          <w:p w14:paraId="3060E55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-3.481***</w:t>
            </w:r>
          </w:p>
        </w:tc>
        <w:tc>
          <w:tcPr>
            <w:tcW w:w="0" w:type="auto"/>
            <w:tcBorders>
              <w:top w:val="nil"/>
              <w:left w:val="nil"/>
              <w:bottom w:val="nil"/>
              <w:right w:val="nil"/>
            </w:tcBorders>
            <w:shd w:val="clear" w:color="000000" w:fill="FFFFFF"/>
            <w:noWrap/>
            <w:vAlign w:val="center"/>
            <w:hideMark/>
          </w:tcPr>
          <w:p w14:paraId="104B18A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-3.423***</w:t>
            </w:r>
          </w:p>
        </w:tc>
        <w:tc>
          <w:tcPr>
            <w:tcW w:w="0" w:type="auto"/>
            <w:tcBorders>
              <w:top w:val="nil"/>
              <w:left w:val="nil"/>
              <w:bottom w:val="nil"/>
              <w:right w:val="nil"/>
            </w:tcBorders>
            <w:shd w:val="clear" w:color="000000" w:fill="FFFFFF"/>
            <w:noWrap/>
            <w:vAlign w:val="center"/>
            <w:hideMark/>
          </w:tcPr>
          <w:p w14:paraId="2BFD23D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-3.887***</w:t>
            </w:r>
          </w:p>
        </w:tc>
        <w:tc>
          <w:tcPr>
            <w:tcW w:w="0" w:type="auto"/>
            <w:tcBorders>
              <w:top w:val="nil"/>
              <w:left w:val="nil"/>
              <w:bottom w:val="nil"/>
              <w:right w:val="nil"/>
            </w:tcBorders>
            <w:shd w:val="clear" w:color="000000" w:fill="FFFFFF"/>
            <w:noWrap/>
            <w:vAlign w:val="center"/>
            <w:hideMark/>
          </w:tcPr>
          <w:p w14:paraId="2954EE4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-26.21***</w:t>
            </w:r>
          </w:p>
        </w:tc>
        <w:tc>
          <w:tcPr>
            <w:tcW w:w="0" w:type="auto"/>
            <w:tcBorders>
              <w:top w:val="nil"/>
              <w:left w:val="nil"/>
              <w:bottom w:val="nil"/>
              <w:right w:val="nil"/>
            </w:tcBorders>
            <w:shd w:val="clear" w:color="000000" w:fill="FFFFFF"/>
            <w:noWrap/>
            <w:vAlign w:val="center"/>
            <w:hideMark/>
          </w:tcPr>
          <w:p w14:paraId="3A453D2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-3.461**</w:t>
            </w:r>
          </w:p>
        </w:tc>
        <w:tc>
          <w:tcPr>
            <w:tcW w:w="0" w:type="auto"/>
            <w:tcBorders>
              <w:top w:val="nil"/>
              <w:left w:val="nil"/>
              <w:bottom w:val="nil"/>
              <w:right w:val="nil"/>
            </w:tcBorders>
            <w:shd w:val="clear" w:color="000000" w:fill="FFFFFF"/>
            <w:noWrap/>
            <w:vAlign w:val="center"/>
            <w:hideMark/>
          </w:tcPr>
          <w:p w14:paraId="0D48FA6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0.6034**</w:t>
            </w:r>
          </w:p>
        </w:tc>
        <w:tc>
          <w:tcPr>
            <w:tcW w:w="0" w:type="auto"/>
            <w:tcBorders>
              <w:top w:val="nil"/>
              <w:left w:val="nil"/>
              <w:bottom w:val="nil"/>
              <w:right w:val="nil"/>
            </w:tcBorders>
            <w:shd w:val="clear" w:color="000000" w:fill="FFFFFF"/>
            <w:noWrap/>
            <w:vAlign w:val="center"/>
            <w:hideMark/>
          </w:tcPr>
          <w:p w14:paraId="43BC3D4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85</w:t>
            </w:r>
          </w:p>
        </w:tc>
      </w:tr>
      <w:tr w:rsidR="009C67F2" w:rsidRPr="00935EAC" w14:paraId="5DDFFDAE"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41D5DC7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Venezuela RB</w:t>
            </w:r>
          </w:p>
        </w:tc>
        <w:tc>
          <w:tcPr>
            <w:tcW w:w="0" w:type="auto"/>
            <w:tcBorders>
              <w:top w:val="nil"/>
              <w:left w:val="nil"/>
              <w:bottom w:val="nil"/>
              <w:right w:val="nil"/>
            </w:tcBorders>
            <w:shd w:val="clear" w:color="000000" w:fill="FFFFFF"/>
            <w:noWrap/>
            <w:vAlign w:val="center"/>
            <w:hideMark/>
          </w:tcPr>
          <w:p w14:paraId="447714C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-2.09</w:t>
            </w:r>
          </w:p>
        </w:tc>
        <w:tc>
          <w:tcPr>
            <w:tcW w:w="0" w:type="auto"/>
            <w:tcBorders>
              <w:top w:val="nil"/>
              <w:left w:val="nil"/>
              <w:bottom w:val="nil"/>
              <w:right w:val="nil"/>
            </w:tcBorders>
            <w:shd w:val="clear" w:color="000000" w:fill="FFFFFF"/>
            <w:noWrap/>
            <w:vAlign w:val="center"/>
            <w:hideMark/>
          </w:tcPr>
          <w:p w14:paraId="2765BAF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-1.598</w:t>
            </w:r>
          </w:p>
        </w:tc>
        <w:tc>
          <w:tcPr>
            <w:tcW w:w="0" w:type="auto"/>
            <w:tcBorders>
              <w:top w:val="nil"/>
              <w:left w:val="nil"/>
              <w:bottom w:val="nil"/>
              <w:right w:val="nil"/>
            </w:tcBorders>
            <w:shd w:val="clear" w:color="000000" w:fill="FFFFFF"/>
            <w:noWrap/>
            <w:vAlign w:val="center"/>
            <w:hideMark/>
          </w:tcPr>
          <w:p w14:paraId="04C25BF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-5.032***</w:t>
            </w:r>
          </w:p>
        </w:tc>
        <w:tc>
          <w:tcPr>
            <w:tcW w:w="0" w:type="auto"/>
            <w:tcBorders>
              <w:top w:val="nil"/>
              <w:left w:val="nil"/>
              <w:bottom w:val="nil"/>
              <w:right w:val="nil"/>
            </w:tcBorders>
            <w:shd w:val="clear" w:color="000000" w:fill="FFFFFF"/>
            <w:noWrap/>
            <w:vAlign w:val="center"/>
            <w:hideMark/>
          </w:tcPr>
          <w:p w14:paraId="2F4DE79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-39.79***</w:t>
            </w:r>
          </w:p>
        </w:tc>
        <w:tc>
          <w:tcPr>
            <w:tcW w:w="0" w:type="auto"/>
            <w:tcBorders>
              <w:top w:val="nil"/>
              <w:left w:val="nil"/>
              <w:bottom w:val="nil"/>
              <w:right w:val="nil"/>
            </w:tcBorders>
            <w:shd w:val="clear" w:color="000000" w:fill="FFFFFF"/>
            <w:noWrap/>
            <w:vAlign w:val="center"/>
            <w:hideMark/>
          </w:tcPr>
          <w:p w14:paraId="5ABA912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-2.142</w:t>
            </w:r>
          </w:p>
        </w:tc>
        <w:tc>
          <w:tcPr>
            <w:tcW w:w="0" w:type="auto"/>
            <w:tcBorders>
              <w:top w:val="nil"/>
              <w:left w:val="nil"/>
              <w:bottom w:val="nil"/>
              <w:right w:val="nil"/>
            </w:tcBorders>
            <w:shd w:val="clear" w:color="000000" w:fill="FFFFFF"/>
            <w:noWrap/>
            <w:vAlign w:val="center"/>
            <w:hideMark/>
          </w:tcPr>
          <w:p w14:paraId="425F645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0.5123**</w:t>
            </w:r>
          </w:p>
        </w:tc>
        <w:tc>
          <w:tcPr>
            <w:tcW w:w="0" w:type="auto"/>
            <w:tcBorders>
              <w:top w:val="nil"/>
              <w:left w:val="nil"/>
              <w:bottom w:val="nil"/>
              <w:right w:val="nil"/>
            </w:tcBorders>
            <w:shd w:val="clear" w:color="000000" w:fill="FFFFFF"/>
            <w:noWrap/>
            <w:vAlign w:val="center"/>
            <w:hideMark/>
          </w:tcPr>
          <w:p w14:paraId="6098B83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84</w:t>
            </w:r>
          </w:p>
        </w:tc>
      </w:tr>
      <w:tr w:rsidR="009C67F2" w:rsidRPr="00935EAC" w14:paraId="3CE590BA" w14:textId="77777777" w:rsidTr="0073265E">
        <w:trPr>
          <w:trHeight w:val="20"/>
          <w:jc w:val="center"/>
        </w:trPr>
        <w:tc>
          <w:tcPr>
            <w:tcW w:w="0" w:type="auto"/>
            <w:tcBorders>
              <w:top w:val="nil"/>
              <w:left w:val="nil"/>
              <w:bottom w:val="single" w:sz="8" w:space="0" w:color="auto"/>
              <w:right w:val="nil"/>
            </w:tcBorders>
            <w:shd w:val="clear" w:color="000000" w:fill="FFFFFF"/>
            <w:noWrap/>
            <w:vAlign w:val="center"/>
            <w:hideMark/>
          </w:tcPr>
          <w:p w14:paraId="7513E50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Vietnam</w:t>
            </w:r>
          </w:p>
        </w:tc>
        <w:tc>
          <w:tcPr>
            <w:tcW w:w="0" w:type="auto"/>
            <w:tcBorders>
              <w:top w:val="nil"/>
              <w:left w:val="nil"/>
              <w:bottom w:val="single" w:sz="8" w:space="0" w:color="auto"/>
              <w:right w:val="nil"/>
            </w:tcBorders>
            <w:shd w:val="clear" w:color="000000" w:fill="FFFFFF"/>
            <w:noWrap/>
            <w:vAlign w:val="center"/>
            <w:hideMark/>
          </w:tcPr>
          <w:p w14:paraId="1746688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-2.817*</w:t>
            </w:r>
          </w:p>
        </w:tc>
        <w:tc>
          <w:tcPr>
            <w:tcW w:w="0" w:type="auto"/>
            <w:tcBorders>
              <w:top w:val="nil"/>
              <w:left w:val="nil"/>
              <w:bottom w:val="single" w:sz="8" w:space="0" w:color="auto"/>
              <w:right w:val="nil"/>
            </w:tcBorders>
            <w:shd w:val="clear" w:color="000000" w:fill="FFFFFF"/>
            <w:noWrap/>
            <w:vAlign w:val="center"/>
            <w:hideMark/>
          </w:tcPr>
          <w:p w14:paraId="0324F05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-0.7119</w:t>
            </w:r>
          </w:p>
        </w:tc>
        <w:tc>
          <w:tcPr>
            <w:tcW w:w="0" w:type="auto"/>
            <w:tcBorders>
              <w:top w:val="nil"/>
              <w:left w:val="nil"/>
              <w:bottom w:val="single" w:sz="8" w:space="0" w:color="auto"/>
              <w:right w:val="nil"/>
            </w:tcBorders>
            <w:shd w:val="clear" w:color="000000" w:fill="FFFFFF"/>
            <w:noWrap/>
            <w:vAlign w:val="center"/>
            <w:hideMark/>
          </w:tcPr>
          <w:p w14:paraId="3B25FA2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-4.707***</w:t>
            </w:r>
          </w:p>
        </w:tc>
        <w:tc>
          <w:tcPr>
            <w:tcW w:w="0" w:type="auto"/>
            <w:tcBorders>
              <w:top w:val="nil"/>
              <w:left w:val="nil"/>
              <w:bottom w:val="single" w:sz="8" w:space="0" w:color="auto"/>
              <w:right w:val="nil"/>
            </w:tcBorders>
            <w:shd w:val="clear" w:color="000000" w:fill="FFFFFF"/>
            <w:noWrap/>
            <w:vAlign w:val="center"/>
            <w:hideMark/>
          </w:tcPr>
          <w:p w14:paraId="3AFA5FE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-35.65***</w:t>
            </w:r>
          </w:p>
        </w:tc>
        <w:tc>
          <w:tcPr>
            <w:tcW w:w="0" w:type="auto"/>
            <w:tcBorders>
              <w:top w:val="nil"/>
              <w:left w:val="nil"/>
              <w:bottom w:val="single" w:sz="8" w:space="0" w:color="auto"/>
              <w:right w:val="nil"/>
            </w:tcBorders>
            <w:shd w:val="clear" w:color="000000" w:fill="FFFFFF"/>
            <w:noWrap/>
            <w:vAlign w:val="center"/>
            <w:hideMark/>
          </w:tcPr>
          <w:p w14:paraId="323DA7B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-1.948</w:t>
            </w:r>
          </w:p>
        </w:tc>
        <w:tc>
          <w:tcPr>
            <w:tcW w:w="0" w:type="auto"/>
            <w:tcBorders>
              <w:top w:val="nil"/>
              <w:left w:val="nil"/>
              <w:bottom w:val="single" w:sz="8" w:space="0" w:color="auto"/>
              <w:right w:val="nil"/>
            </w:tcBorders>
            <w:shd w:val="clear" w:color="000000" w:fill="FFFFFF"/>
            <w:noWrap/>
            <w:vAlign w:val="center"/>
            <w:hideMark/>
          </w:tcPr>
          <w:p w14:paraId="0258C57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1.045***</w:t>
            </w:r>
          </w:p>
        </w:tc>
        <w:tc>
          <w:tcPr>
            <w:tcW w:w="0" w:type="auto"/>
            <w:tcBorders>
              <w:top w:val="nil"/>
              <w:left w:val="nil"/>
              <w:bottom w:val="single" w:sz="8" w:space="0" w:color="auto"/>
              <w:right w:val="nil"/>
            </w:tcBorders>
            <w:shd w:val="clear" w:color="000000" w:fill="FFFFFF"/>
            <w:noWrap/>
            <w:vAlign w:val="center"/>
            <w:hideMark/>
          </w:tcPr>
          <w:p w14:paraId="229B5A5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104</w:t>
            </w:r>
          </w:p>
        </w:tc>
      </w:tr>
    </w:tbl>
    <w:p w14:paraId="3F9C23D0" w14:textId="2A085BD0" w:rsidR="00B170F1" w:rsidRPr="00935EAC" w:rsidRDefault="00B170F1" w:rsidP="009C67F2">
      <w:pPr>
        <w:rPr>
          <w:rFonts w:eastAsia="Times New Roman"/>
        </w:rPr>
      </w:pPr>
    </w:p>
    <w:p w14:paraId="06BBC25B" w14:textId="476CA506" w:rsidR="00A56A40" w:rsidRPr="00121649" w:rsidRDefault="00A56A40" w:rsidP="0073265E">
      <w:pPr>
        <w:rPr>
          <w:rFonts w:eastAsia="Times New Roman"/>
        </w:rPr>
      </w:pPr>
    </w:p>
    <w:sectPr w:rsidR="00A56A40" w:rsidRPr="00121649" w:rsidSect="00FE1366">
      <w:footerReference w:type="default" r:id="rId33"/>
      <w:footerReference w:type="first" r:id="rId34"/>
      <w:pgSz w:w="12240" w:h="15840"/>
      <w:pgMar w:top="1440" w:right="1080" w:bottom="1440" w:left="1080" w:header="567" w:footer="850" w:gutter="0"/>
      <w:pgNumType w:start="0"/>
      <w:cols w:space="720"/>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Eric Clower" w:date="2025-12-02T06:44:00Z" w:initials="EC">
    <w:p w14:paraId="1FC665F2" w14:textId="77777777" w:rsidR="006452B5" w:rsidRDefault="006452B5" w:rsidP="006452B5">
      <w:pPr>
        <w:pStyle w:val="CommentText"/>
      </w:pPr>
      <w:r>
        <w:rPr>
          <w:rStyle w:val="CommentReference"/>
        </w:rPr>
        <w:annotationRef/>
      </w:r>
      <w:r>
        <w:t>I think we need to elaborate on this or add some discussion in section 2 about Bohn and current account sustainability.</w:t>
      </w:r>
    </w:p>
  </w:comment>
  <w:comment w:id="11" w:author="Eric Clower" w:date="2026-03-23T08:05:00Z" w:initials="EC">
    <w:p w14:paraId="2D60FA7F" w14:textId="77777777" w:rsidR="00DC6DB1" w:rsidRDefault="00DC6DB1" w:rsidP="00DC6DB1">
      <w:pPr>
        <w:pStyle w:val="CommentText"/>
      </w:pPr>
      <w:r>
        <w:rPr>
          <w:rStyle w:val="CommentReference"/>
        </w:rPr>
        <w:annotationRef/>
      </w:r>
      <w:r>
        <w:t>Is this something that we need to include in this paper? Can we extend this model to focus on financial market depth, creditor composition, etc? Or should we make this a new paper.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FC665F2" w15:done="1"/>
  <w15:commentEx w15:paraId="2D60FA7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AB657C" w16cex:dateUtc="2025-12-02T12:44:00Z"/>
  <w16cex:commentExtensible w16cex:durableId="7BB9D93B" w16cex:dateUtc="2026-03-23T12: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FC665F2" w16cid:durableId="07AB657C"/>
  <w16cid:commentId w16cid:paraId="2D60FA7F" w16cid:durableId="7BB9D93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9B009" w14:textId="77777777" w:rsidR="005B2DED" w:rsidRPr="00935EAC" w:rsidRDefault="005B2DED" w:rsidP="00514562">
      <w:pPr>
        <w:spacing w:after="0" w:line="240" w:lineRule="auto"/>
      </w:pPr>
      <w:r w:rsidRPr="00935EAC">
        <w:separator/>
      </w:r>
    </w:p>
  </w:endnote>
  <w:endnote w:type="continuationSeparator" w:id="0">
    <w:p w14:paraId="483783D7" w14:textId="77777777" w:rsidR="005B2DED" w:rsidRPr="00935EAC" w:rsidRDefault="005B2DED" w:rsidP="00514562">
      <w:pPr>
        <w:spacing w:after="0" w:line="240" w:lineRule="auto"/>
      </w:pPr>
      <w:r w:rsidRPr="00935EA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5307692"/>
      <w:docPartObj>
        <w:docPartGallery w:val="Page Numbers (Bottom of Page)"/>
        <w:docPartUnique/>
      </w:docPartObj>
    </w:sdtPr>
    <w:sdtContent>
      <w:p w14:paraId="16AB75AB" w14:textId="77777777" w:rsidR="00B9166A" w:rsidRPr="00935EAC" w:rsidRDefault="00B72B14" w:rsidP="00FD4C07">
        <w:pPr>
          <w:pStyle w:val="Footer"/>
          <w:jc w:val="center"/>
        </w:pPr>
        <w:r w:rsidRPr="00935EAC">
          <w:fldChar w:fldCharType="begin"/>
        </w:r>
        <w:r w:rsidRPr="00935EAC">
          <w:instrText>PAGE   \* MERGEFORMAT</w:instrText>
        </w:r>
        <w:r w:rsidRPr="00935EAC">
          <w:fldChar w:fldCharType="separate"/>
        </w:r>
        <w:r w:rsidRPr="0073265E">
          <w:t>2</w:t>
        </w:r>
        <w:r w:rsidRPr="00935EAC">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544DC" w14:textId="77777777" w:rsidR="00B9166A" w:rsidRPr="00935EAC" w:rsidRDefault="00B9166A" w:rsidP="00FD4C07">
    <w:pPr>
      <w:pStyle w:val="Footer"/>
      <w:rPr>
        <w:i/>
      </w:rPr>
    </w:pPr>
  </w:p>
  <w:p w14:paraId="5D2FA24F" w14:textId="32D71EEF" w:rsidR="00B9166A" w:rsidRPr="00935EAC" w:rsidRDefault="00B72B14">
    <w:pPr>
      <w:pStyle w:val="Footer"/>
      <w:rPr>
        <w:i/>
        <w:sz w:val="20"/>
        <w:szCs w:val="20"/>
      </w:rPr>
    </w:pPr>
    <w:r w:rsidRPr="00935EAC">
      <w:rPr>
        <w:i/>
        <w:sz w:val="20"/>
        <w:szCs w:val="20"/>
      </w:rPr>
      <w:t>Preprint</w:t>
    </w:r>
    <w:r w:rsidRPr="00935EAC">
      <w:rPr>
        <w:i/>
        <w:sz w:val="20"/>
        <w:szCs w:val="20"/>
      </w:rPr>
      <w:tab/>
    </w:r>
    <w:r w:rsidRPr="00935EAC">
      <w:rPr>
        <w:i/>
        <w:sz w:val="20"/>
        <w:szCs w:val="20"/>
      </w:rPr>
      <w:tab/>
    </w:r>
    <w:r w:rsidRPr="00935EAC">
      <w:rPr>
        <w:i/>
        <w:sz w:val="20"/>
        <w:szCs w:val="20"/>
      </w:rPr>
      <w:fldChar w:fldCharType="begin"/>
    </w:r>
    <w:r w:rsidRPr="00935EAC">
      <w:rPr>
        <w:i/>
        <w:sz w:val="20"/>
        <w:szCs w:val="20"/>
      </w:rPr>
      <w:instrText xml:space="preserve"> DATE \@ "MMMM d, yyyy" </w:instrText>
    </w:r>
    <w:r w:rsidRPr="00935EAC">
      <w:rPr>
        <w:i/>
        <w:sz w:val="20"/>
        <w:szCs w:val="20"/>
      </w:rPr>
      <w:fldChar w:fldCharType="separate"/>
    </w:r>
    <w:r w:rsidR="00450ECA">
      <w:rPr>
        <w:i/>
        <w:noProof/>
        <w:sz w:val="20"/>
        <w:szCs w:val="20"/>
      </w:rPr>
      <w:t>April 16, 2026</w:t>
    </w:r>
    <w:r w:rsidRPr="00935EAC">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2FC88" w14:textId="77777777" w:rsidR="005B2DED" w:rsidRPr="00935EAC" w:rsidRDefault="005B2DED" w:rsidP="00514562">
      <w:pPr>
        <w:spacing w:after="0" w:line="240" w:lineRule="auto"/>
      </w:pPr>
      <w:r w:rsidRPr="00935EAC">
        <w:separator/>
      </w:r>
    </w:p>
  </w:footnote>
  <w:footnote w:type="continuationSeparator" w:id="0">
    <w:p w14:paraId="1921E58F" w14:textId="77777777" w:rsidR="005B2DED" w:rsidRPr="00935EAC" w:rsidRDefault="005B2DED" w:rsidP="00514562">
      <w:pPr>
        <w:spacing w:after="0" w:line="240" w:lineRule="auto"/>
      </w:pPr>
      <w:r w:rsidRPr="00935EAC">
        <w:continuationSeparator/>
      </w:r>
    </w:p>
  </w:footnote>
  <w:footnote w:id="1">
    <w:p w14:paraId="47D3FE43" w14:textId="5C1ADA6E" w:rsidR="00514562" w:rsidRPr="00935EAC" w:rsidRDefault="00514562" w:rsidP="00514562">
      <w:pPr>
        <w:pStyle w:val="FootnoteText"/>
      </w:pPr>
      <w:r w:rsidRPr="00935EAC">
        <w:rPr>
          <w:rStyle w:val="FootnoteReference"/>
        </w:rPr>
        <w:t>★</w:t>
      </w:r>
      <w:r w:rsidRPr="00935EAC">
        <w:t xml:space="preserve"> Corresponding author: </w:t>
      </w:r>
      <w:r w:rsidR="00D03F05" w:rsidRPr="00935EAC">
        <w:rPr>
          <w:iCs/>
        </w:rPr>
        <w:t>Hiro Ito</w:t>
      </w:r>
      <w:r w:rsidRPr="00935EAC">
        <w:t xml:space="preserve">, </w:t>
      </w:r>
      <w:r w:rsidR="00D03F05" w:rsidRPr="00935EAC">
        <w:t>Department of Economics, Portland State University, 506 SW Mill Street, Urban Center Building, #450, Portland, OR, 97201, USA</w:t>
      </w:r>
      <w:r w:rsidRPr="00935EAC">
        <w:t xml:space="preserve">. Email: </w:t>
      </w:r>
      <w:r w:rsidR="00D03F05" w:rsidRPr="00935EAC">
        <w:t>ito@pdx.edu</w:t>
      </w:r>
      <w:r w:rsidRPr="00935EAC">
        <w:t>.</w:t>
      </w:r>
    </w:p>
    <w:p w14:paraId="2ACE33FF" w14:textId="3CB8C69B" w:rsidR="00514562" w:rsidRPr="00935EAC" w:rsidRDefault="00D03F05" w:rsidP="00514562">
      <w:pPr>
        <w:pStyle w:val="FootnoteText"/>
        <w:rPr>
          <w:rFonts w:eastAsiaTheme="minorHAnsi" w:cstheme="minorBidi"/>
          <w:sz w:val="24"/>
          <w:szCs w:val="22"/>
        </w:rPr>
      </w:pPr>
      <w:r w:rsidRPr="00935EAC">
        <w:rPr>
          <w:i/>
        </w:rPr>
        <w:t xml:space="preserve">  </w:t>
      </w:r>
      <w:r w:rsidR="00514562" w:rsidRPr="00935EAC">
        <w:rPr>
          <w:i/>
        </w:rPr>
        <w:t>Email addresses</w:t>
      </w:r>
      <w:r w:rsidR="00514562" w:rsidRPr="00935EAC">
        <w:rPr>
          <w:iCs/>
        </w:rPr>
        <w:t xml:space="preserve">: </w:t>
      </w:r>
      <w:r w:rsidRPr="00935EAC">
        <w:rPr>
          <w:iCs/>
        </w:rPr>
        <w:t xml:space="preserve">eric@aptech.com </w:t>
      </w:r>
      <w:r w:rsidR="00514562" w:rsidRPr="00935EAC">
        <w:rPr>
          <w:iCs/>
        </w:rPr>
        <w:t>(</w:t>
      </w:r>
      <w:r w:rsidRPr="00935EAC">
        <w:rPr>
          <w:iCs/>
        </w:rPr>
        <w:t>Eric Clower</w:t>
      </w:r>
      <w:r w:rsidR="00514562" w:rsidRPr="00935EAC">
        <w:rPr>
          <w:iCs/>
        </w:rPr>
        <w:t xml:space="preserve">), </w:t>
      </w:r>
      <w:r w:rsidRPr="00935EAC">
        <w:rPr>
          <w:iCs/>
        </w:rPr>
        <w:t>ito@pdx.edu</w:t>
      </w:r>
      <w:r w:rsidR="00514562" w:rsidRPr="00935EAC">
        <w:rPr>
          <w:iCs/>
        </w:rPr>
        <w:t xml:space="preserve"> (</w:t>
      </w:r>
      <w:r w:rsidRPr="00935EAC">
        <w:rPr>
          <w:iCs/>
        </w:rPr>
        <w:t>Hiro Ito</w:t>
      </w:r>
      <w:r w:rsidR="00514562" w:rsidRPr="00935EAC">
        <w:rPr>
          <w:iCs/>
        </w:rPr>
        <w:t xml:space="preserve">), </w:t>
      </w:r>
      <w:r w:rsidR="000142DE" w:rsidRPr="00935EAC">
        <w:rPr>
          <w:iCs/>
        </w:rPr>
        <w:t>jamelsaadaoui@gmail.com</w:t>
      </w:r>
      <w:r w:rsidR="00514562" w:rsidRPr="00935EAC">
        <w:rPr>
          <w:iCs/>
        </w:rPr>
        <w:t xml:space="preserve"> (Jamel Saadaoui)</w:t>
      </w:r>
      <w:r w:rsidRPr="00935EAC">
        <w:rPr>
          <w:iCs/>
        </w:rPr>
        <w:t>.</w:t>
      </w:r>
    </w:p>
    <w:p w14:paraId="43AD8771" w14:textId="0E624C13" w:rsidR="00514562" w:rsidRPr="00935EAC" w:rsidRDefault="00514562" w:rsidP="00514562">
      <w:pPr>
        <w:pStyle w:val="FootnoteText"/>
      </w:pPr>
    </w:p>
  </w:footnote>
</w:footnotes>
</file>

<file path=word/intelligence2.xml><?xml version="1.0" encoding="utf-8"?>
<int2:intelligence xmlns:int2="http://schemas.microsoft.com/office/intelligence/2020/intelligence" xmlns:oel="http://schemas.microsoft.com/office/2019/extlst">
  <int2:observations>
    <int2:bookmark int2:bookmarkName="_Int_OZokcqD4" int2:invalidationBookmarkName="" int2:hashCode="TMwUobMvFEsa4h" int2:id="2zH8CQpr">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330A1"/>
    <w:multiLevelType w:val="multilevel"/>
    <w:tmpl w:val="7506F426"/>
    <w:lvl w:ilvl="0">
      <w:start w:val="2"/>
      <w:numFmt w:val="decimal"/>
      <w:lvlText w:val="%1"/>
      <w:lvlJc w:val="left"/>
      <w:pPr>
        <w:ind w:left="576" w:hanging="576"/>
      </w:pPr>
      <w:rPr>
        <w:rFonts w:eastAsia="Times New Roman" w:hint="default"/>
      </w:rPr>
    </w:lvl>
    <w:lvl w:ilvl="1">
      <w:start w:val="1"/>
      <w:numFmt w:val="decimal"/>
      <w:lvlText w:val="%1.%2"/>
      <w:lvlJc w:val="left"/>
      <w:pPr>
        <w:ind w:left="576" w:hanging="576"/>
      </w:pPr>
      <w:rPr>
        <w:rFonts w:eastAsia="Times New Roman" w:hint="default"/>
      </w:rPr>
    </w:lvl>
    <w:lvl w:ilvl="2">
      <w:start w:val="1"/>
      <w:numFmt w:val="decimal"/>
      <w:lvlText w:val="%1.%2.%3"/>
      <w:lvlJc w:val="left"/>
      <w:pPr>
        <w:ind w:left="936" w:hanging="936"/>
      </w:pPr>
      <w:rPr>
        <w:rFonts w:eastAsia="Times New Roman" w:hint="default"/>
      </w:rPr>
    </w:lvl>
    <w:lvl w:ilvl="3">
      <w:start w:val="1"/>
      <w:numFmt w:val="decimal"/>
      <w:lvlText w:val="%1.%2.%3.%4"/>
      <w:lvlJc w:val="left"/>
      <w:pPr>
        <w:ind w:left="936" w:hanging="936"/>
      </w:pPr>
      <w:rPr>
        <w:rFonts w:eastAsia="Times New Roman" w:hint="default"/>
      </w:rPr>
    </w:lvl>
    <w:lvl w:ilvl="4">
      <w:start w:val="1"/>
      <w:numFmt w:val="decimal"/>
      <w:lvlText w:val="%1.%2.%3.%4.%5"/>
      <w:lvlJc w:val="left"/>
      <w:pPr>
        <w:ind w:left="1296" w:hanging="1296"/>
      </w:pPr>
      <w:rPr>
        <w:rFonts w:eastAsia="Times New Roman" w:hint="default"/>
      </w:rPr>
    </w:lvl>
    <w:lvl w:ilvl="5">
      <w:start w:val="1"/>
      <w:numFmt w:val="decimal"/>
      <w:lvlText w:val="%1.%2.%3.%4.%5.%6"/>
      <w:lvlJc w:val="left"/>
      <w:pPr>
        <w:ind w:left="1656" w:hanging="1656"/>
      </w:pPr>
      <w:rPr>
        <w:rFonts w:eastAsia="Times New Roman" w:hint="default"/>
      </w:rPr>
    </w:lvl>
    <w:lvl w:ilvl="6">
      <w:start w:val="1"/>
      <w:numFmt w:val="decimal"/>
      <w:lvlText w:val="%1.%2.%3.%4.%5.%6.%7"/>
      <w:lvlJc w:val="left"/>
      <w:pPr>
        <w:ind w:left="1656" w:hanging="1656"/>
      </w:pPr>
      <w:rPr>
        <w:rFonts w:eastAsia="Times New Roman" w:hint="default"/>
      </w:rPr>
    </w:lvl>
    <w:lvl w:ilvl="7">
      <w:start w:val="1"/>
      <w:numFmt w:val="decimal"/>
      <w:lvlText w:val="%1.%2.%3.%4.%5.%6.%7.%8"/>
      <w:lvlJc w:val="left"/>
      <w:pPr>
        <w:ind w:left="2016" w:hanging="2016"/>
      </w:pPr>
      <w:rPr>
        <w:rFonts w:eastAsia="Times New Roman" w:hint="default"/>
      </w:rPr>
    </w:lvl>
    <w:lvl w:ilvl="8">
      <w:start w:val="1"/>
      <w:numFmt w:val="decimal"/>
      <w:lvlText w:val="%1.%2.%3.%4.%5.%6.%7.%8.%9"/>
      <w:lvlJc w:val="left"/>
      <w:pPr>
        <w:ind w:left="2016" w:hanging="2016"/>
      </w:pPr>
      <w:rPr>
        <w:rFonts w:eastAsia="Times New Roman" w:hint="default"/>
      </w:rPr>
    </w:lvl>
  </w:abstractNum>
  <w:abstractNum w:abstractNumId="1" w15:restartNumberingAfterBreak="0">
    <w:nsid w:val="0CB9359B"/>
    <w:multiLevelType w:val="multilevel"/>
    <w:tmpl w:val="DF625D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1D5D3C4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27B7726"/>
    <w:multiLevelType w:val="multilevel"/>
    <w:tmpl w:val="9C5A9F66"/>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67628E4"/>
    <w:multiLevelType w:val="multilevel"/>
    <w:tmpl w:val="1F1E0B0A"/>
    <w:lvl w:ilvl="0">
      <w:start w:val="1"/>
      <w:numFmt w:val="decimal"/>
      <w:lvlText w:val="%1."/>
      <w:lvlJc w:val="left"/>
      <w:pPr>
        <w:ind w:left="360" w:hanging="360"/>
      </w:pPr>
      <w:rPr>
        <w:rFonts w:hint="default"/>
        <w:b/>
        <w:bCs/>
        <w:i w:val="0"/>
        <w:iCs w:val="0"/>
        <w:spacing w:val="0"/>
        <w:w w:val="99"/>
        <w:sz w:val="24"/>
        <w:szCs w:val="24"/>
        <w:lang w:val="en-US" w:eastAsia="en-US" w:bidi="ar-SA"/>
      </w:rPr>
    </w:lvl>
    <w:lvl w:ilvl="1">
      <w:start w:val="1"/>
      <w:numFmt w:val="decimal"/>
      <w:lvlText w:val="%1.%2."/>
      <w:lvlJc w:val="left"/>
      <w:pPr>
        <w:ind w:left="792" w:hanging="432"/>
      </w:pPr>
      <w:rPr>
        <w:rFonts w:hint="default"/>
        <w:b/>
        <w:bCs/>
        <w:i w:val="0"/>
        <w:iCs w:val="0"/>
        <w:spacing w:val="0"/>
        <w:w w:val="99"/>
        <w:sz w:val="24"/>
        <w:szCs w:val="24"/>
        <w:lang w:val="en-US" w:eastAsia="en-US" w:bidi="ar-SA"/>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lang w:val="en-US" w:eastAsia="en-US" w:bidi="ar-SA"/>
      </w:rPr>
    </w:lvl>
    <w:lvl w:ilvl="4">
      <w:start w:val="1"/>
      <w:numFmt w:val="decimal"/>
      <w:lvlText w:val="%1.%2.%3.%4.%5."/>
      <w:lvlJc w:val="left"/>
      <w:pPr>
        <w:ind w:left="2232" w:hanging="792"/>
      </w:pPr>
      <w:rPr>
        <w:rFonts w:hint="default"/>
        <w:lang w:val="en-US" w:eastAsia="en-US" w:bidi="ar-SA"/>
      </w:rPr>
    </w:lvl>
    <w:lvl w:ilvl="5">
      <w:start w:val="1"/>
      <w:numFmt w:val="decimal"/>
      <w:lvlText w:val="%1.%2.%3.%4.%5.%6."/>
      <w:lvlJc w:val="left"/>
      <w:pPr>
        <w:ind w:left="2736" w:hanging="936"/>
      </w:pPr>
      <w:rPr>
        <w:rFonts w:hint="default"/>
        <w:lang w:val="en-US" w:eastAsia="en-US" w:bidi="ar-SA"/>
      </w:rPr>
    </w:lvl>
    <w:lvl w:ilvl="6">
      <w:start w:val="1"/>
      <w:numFmt w:val="decimal"/>
      <w:lvlText w:val="%1.%2.%3.%4.%5.%6.%7."/>
      <w:lvlJc w:val="left"/>
      <w:pPr>
        <w:ind w:left="3240" w:hanging="1080"/>
      </w:pPr>
      <w:rPr>
        <w:rFonts w:hint="default"/>
        <w:lang w:val="en-US" w:eastAsia="en-US" w:bidi="ar-SA"/>
      </w:rPr>
    </w:lvl>
    <w:lvl w:ilvl="7">
      <w:start w:val="1"/>
      <w:numFmt w:val="decimal"/>
      <w:lvlText w:val="%1.%2.%3.%4.%5.%6.%7.%8."/>
      <w:lvlJc w:val="left"/>
      <w:pPr>
        <w:ind w:left="3744" w:hanging="1224"/>
      </w:pPr>
      <w:rPr>
        <w:rFonts w:hint="default"/>
        <w:lang w:val="en-US" w:eastAsia="en-US" w:bidi="ar-SA"/>
      </w:rPr>
    </w:lvl>
    <w:lvl w:ilvl="8">
      <w:start w:val="1"/>
      <w:numFmt w:val="decimal"/>
      <w:lvlText w:val="%1.%2.%3.%4.%5.%6.%7.%8.%9."/>
      <w:lvlJc w:val="left"/>
      <w:pPr>
        <w:ind w:left="4320" w:hanging="1440"/>
      </w:pPr>
      <w:rPr>
        <w:rFonts w:hint="default"/>
        <w:lang w:val="en-US" w:eastAsia="en-US" w:bidi="ar-SA"/>
      </w:rPr>
    </w:lvl>
  </w:abstractNum>
  <w:abstractNum w:abstractNumId="5" w15:restartNumberingAfterBreak="0">
    <w:nsid w:val="292B16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D984B4F"/>
    <w:multiLevelType w:val="multilevel"/>
    <w:tmpl w:val="0409001F"/>
    <w:lvl w:ilvl="0">
      <w:start w:val="1"/>
      <w:numFmt w:val="decimal"/>
      <w:lvlText w:val="%1."/>
      <w:lvlJc w:val="left"/>
      <w:pPr>
        <w:ind w:left="360" w:hanging="360"/>
      </w:pPr>
      <w:rPr>
        <w:rFonts w:hint="default"/>
        <w:b/>
        <w:bCs/>
        <w:i w:val="0"/>
        <w:iCs w:val="0"/>
        <w:spacing w:val="0"/>
        <w:w w:val="99"/>
        <w:sz w:val="24"/>
        <w:szCs w:val="24"/>
        <w:lang w:val="en-US" w:eastAsia="en-US" w:bidi="ar-SA"/>
      </w:rPr>
    </w:lvl>
    <w:lvl w:ilvl="1">
      <w:start w:val="1"/>
      <w:numFmt w:val="decimal"/>
      <w:lvlText w:val="%1.%2."/>
      <w:lvlJc w:val="left"/>
      <w:pPr>
        <w:ind w:left="792" w:hanging="432"/>
      </w:pPr>
      <w:rPr>
        <w:rFonts w:hint="default"/>
        <w:b w:val="0"/>
        <w:bCs w:val="0"/>
        <w:i/>
        <w:iCs/>
        <w:spacing w:val="0"/>
        <w:w w:val="99"/>
        <w:sz w:val="24"/>
        <w:szCs w:val="24"/>
        <w:lang w:val="en-US" w:eastAsia="en-US" w:bidi="ar-SA"/>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lang w:val="en-US" w:eastAsia="en-US" w:bidi="ar-SA"/>
      </w:rPr>
    </w:lvl>
    <w:lvl w:ilvl="4">
      <w:start w:val="1"/>
      <w:numFmt w:val="decimal"/>
      <w:lvlText w:val="%1.%2.%3.%4.%5."/>
      <w:lvlJc w:val="left"/>
      <w:pPr>
        <w:ind w:left="2232" w:hanging="792"/>
      </w:pPr>
      <w:rPr>
        <w:rFonts w:hint="default"/>
        <w:lang w:val="en-US" w:eastAsia="en-US" w:bidi="ar-SA"/>
      </w:rPr>
    </w:lvl>
    <w:lvl w:ilvl="5">
      <w:start w:val="1"/>
      <w:numFmt w:val="decimal"/>
      <w:lvlText w:val="%1.%2.%3.%4.%5.%6."/>
      <w:lvlJc w:val="left"/>
      <w:pPr>
        <w:ind w:left="2736" w:hanging="936"/>
      </w:pPr>
      <w:rPr>
        <w:rFonts w:hint="default"/>
        <w:lang w:val="en-US" w:eastAsia="en-US" w:bidi="ar-SA"/>
      </w:rPr>
    </w:lvl>
    <w:lvl w:ilvl="6">
      <w:start w:val="1"/>
      <w:numFmt w:val="decimal"/>
      <w:lvlText w:val="%1.%2.%3.%4.%5.%6.%7."/>
      <w:lvlJc w:val="left"/>
      <w:pPr>
        <w:ind w:left="3240" w:hanging="1080"/>
      </w:pPr>
      <w:rPr>
        <w:rFonts w:hint="default"/>
        <w:lang w:val="en-US" w:eastAsia="en-US" w:bidi="ar-SA"/>
      </w:rPr>
    </w:lvl>
    <w:lvl w:ilvl="7">
      <w:start w:val="1"/>
      <w:numFmt w:val="decimal"/>
      <w:lvlText w:val="%1.%2.%3.%4.%5.%6.%7.%8."/>
      <w:lvlJc w:val="left"/>
      <w:pPr>
        <w:ind w:left="3744" w:hanging="1224"/>
      </w:pPr>
      <w:rPr>
        <w:rFonts w:hint="default"/>
        <w:lang w:val="en-US" w:eastAsia="en-US" w:bidi="ar-SA"/>
      </w:rPr>
    </w:lvl>
    <w:lvl w:ilvl="8">
      <w:start w:val="1"/>
      <w:numFmt w:val="decimal"/>
      <w:lvlText w:val="%1.%2.%3.%4.%5.%6.%7.%8.%9."/>
      <w:lvlJc w:val="left"/>
      <w:pPr>
        <w:ind w:left="4320" w:hanging="1440"/>
      </w:pPr>
      <w:rPr>
        <w:rFonts w:hint="default"/>
        <w:lang w:val="en-US" w:eastAsia="en-US" w:bidi="ar-SA"/>
      </w:rPr>
    </w:lvl>
  </w:abstractNum>
  <w:abstractNum w:abstractNumId="7" w15:restartNumberingAfterBreak="0">
    <w:nsid w:val="36B90AE0"/>
    <w:multiLevelType w:val="hybridMultilevel"/>
    <w:tmpl w:val="C85E6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DC2908"/>
    <w:multiLevelType w:val="multilevel"/>
    <w:tmpl w:val="5A3650D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3DE403F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83656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62A17AAD"/>
    <w:multiLevelType w:val="multilevel"/>
    <w:tmpl w:val="21DA3272"/>
    <w:lvl w:ilvl="0">
      <w:start w:val="4"/>
      <w:numFmt w:val="decimal"/>
      <w:lvlText w:val="%1."/>
      <w:lvlJc w:val="left"/>
      <w:pPr>
        <w:ind w:left="456" w:hanging="299"/>
      </w:pPr>
      <w:rPr>
        <w:rFonts w:ascii="Times New Roman" w:eastAsia="Times New Roman" w:hAnsi="Times New Roman" w:cs="Times New Roman" w:hint="default"/>
        <w:b/>
        <w:bCs/>
        <w:i w:val="0"/>
        <w:iCs w:val="0"/>
        <w:spacing w:val="0"/>
        <w:w w:val="99"/>
        <w:sz w:val="24"/>
        <w:szCs w:val="24"/>
      </w:rPr>
    </w:lvl>
    <w:lvl w:ilvl="1">
      <w:start w:val="3"/>
      <w:numFmt w:val="decimal"/>
      <w:lvlText w:val="%2.1.1"/>
      <w:lvlJc w:val="left"/>
      <w:pPr>
        <w:ind w:left="516" w:hanging="360"/>
      </w:pPr>
      <w:rPr>
        <w:rFonts w:hint="default"/>
      </w:rPr>
    </w:lvl>
    <w:lvl w:ilvl="2">
      <w:start w:val="3"/>
      <w:numFmt w:val="decimal"/>
      <w:lvlText w:val="%3.1.1"/>
      <w:lvlJc w:val="left"/>
      <w:pPr>
        <w:ind w:left="1525" w:hanging="360"/>
      </w:pPr>
      <w:rPr>
        <w:rFonts w:hint="default"/>
      </w:rPr>
    </w:lvl>
    <w:lvl w:ilvl="3">
      <w:numFmt w:val="bullet"/>
      <w:lvlText w:val="•"/>
      <w:lvlJc w:val="left"/>
      <w:pPr>
        <w:ind w:left="2648" w:hanging="479"/>
      </w:pPr>
      <w:rPr>
        <w:rFonts w:hint="default"/>
      </w:rPr>
    </w:lvl>
    <w:lvl w:ilvl="4">
      <w:numFmt w:val="bullet"/>
      <w:lvlText w:val="•"/>
      <w:lvlJc w:val="left"/>
      <w:pPr>
        <w:ind w:left="3653" w:hanging="479"/>
      </w:pPr>
      <w:rPr>
        <w:rFonts w:hint="default"/>
      </w:rPr>
    </w:lvl>
    <w:lvl w:ilvl="5">
      <w:numFmt w:val="bullet"/>
      <w:lvlText w:val="•"/>
      <w:lvlJc w:val="left"/>
      <w:pPr>
        <w:ind w:left="4657" w:hanging="479"/>
      </w:pPr>
      <w:rPr>
        <w:rFonts w:hint="default"/>
      </w:rPr>
    </w:lvl>
    <w:lvl w:ilvl="6">
      <w:numFmt w:val="bullet"/>
      <w:lvlText w:val="•"/>
      <w:lvlJc w:val="left"/>
      <w:pPr>
        <w:ind w:left="5662" w:hanging="479"/>
      </w:pPr>
      <w:rPr>
        <w:rFonts w:hint="default"/>
      </w:rPr>
    </w:lvl>
    <w:lvl w:ilvl="7">
      <w:numFmt w:val="bullet"/>
      <w:lvlText w:val="•"/>
      <w:lvlJc w:val="left"/>
      <w:pPr>
        <w:ind w:left="6666" w:hanging="479"/>
      </w:pPr>
      <w:rPr>
        <w:rFonts w:hint="default"/>
      </w:rPr>
    </w:lvl>
    <w:lvl w:ilvl="8">
      <w:numFmt w:val="bullet"/>
      <w:lvlText w:val="•"/>
      <w:lvlJc w:val="left"/>
      <w:pPr>
        <w:ind w:left="7671" w:hanging="479"/>
      </w:pPr>
      <w:rPr>
        <w:rFonts w:hint="default"/>
      </w:rPr>
    </w:lvl>
  </w:abstractNum>
  <w:abstractNum w:abstractNumId="12" w15:restartNumberingAfterBreak="0">
    <w:nsid w:val="66FC284D"/>
    <w:multiLevelType w:val="hybridMultilevel"/>
    <w:tmpl w:val="9BAA7962"/>
    <w:lvl w:ilvl="0" w:tplc="44DE5C34">
      <w:start w:val="1"/>
      <w:numFmt w:val="decimal"/>
      <w:lvlText w:val="%1."/>
      <w:lvlJc w:val="left"/>
      <w:pPr>
        <w:ind w:left="720" w:hanging="360"/>
      </w:pPr>
      <w:rPr>
        <w:rFonts w:eastAsiaTheme="minorHAnsi"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724A5D38"/>
    <w:multiLevelType w:val="multilevel"/>
    <w:tmpl w:val="02FAB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1082004">
    <w:abstractNumId w:val="4"/>
  </w:num>
  <w:num w:numId="2" w16cid:durableId="186065029">
    <w:abstractNumId w:val="7"/>
  </w:num>
  <w:num w:numId="3" w16cid:durableId="1774396460">
    <w:abstractNumId w:val="11"/>
  </w:num>
  <w:num w:numId="4" w16cid:durableId="811950225">
    <w:abstractNumId w:val="10"/>
  </w:num>
  <w:num w:numId="5" w16cid:durableId="202643004">
    <w:abstractNumId w:val="4"/>
    <w:lvlOverride w:ilvl="0">
      <w:lvl w:ilvl="0">
        <w:start w:val="1"/>
        <w:numFmt w:val="decimal"/>
        <w:lvlText w:val="%1."/>
        <w:lvlJc w:val="left"/>
        <w:pPr>
          <w:ind w:left="360" w:hanging="360"/>
        </w:pPr>
        <w:rPr>
          <w:rFonts w:hint="default"/>
          <w:b/>
          <w:bCs/>
          <w:i w:val="0"/>
          <w:iCs w:val="0"/>
          <w:spacing w:val="0"/>
          <w:w w:val="99"/>
          <w:sz w:val="24"/>
          <w:szCs w:val="24"/>
        </w:rPr>
      </w:lvl>
    </w:lvlOverride>
    <w:lvlOverride w:ilvl="1">
      <w:lvl w:ilvl="1">
        <w:start w:val="1"/>
        <w:numFmt w:val="decimal"/>
        <w:lvlText w:val="%1.%2."/>
        <w:lvlJc w:val="left"/>
        <w:pPr>
          <w:ind w:left="360" w:firstLine="0"/>
        </w:pPr>
        <w:rPr>
          <w:rFonts w:hint="default"/>
          <w:b w:val="0"/>
          <w:bCs w:val="0"/>
          <w:i/>
          <w:iCs/>
          <w:spacing w:val="0"/>
          <w:w w:val="99"/>
          <w:sz w:val="24"/>
          <w:szCs w:val="24"/>
        </w:rPr>
      </w:lvl>
    </w:lvlOverride>
    <w:lvlOverride w:ilvl="2">
      <w:lvl w:ilvl="2">
        <w:start w:val="1"/>
        <w:numFmt w:val="decimal"/>
        <w:lvlText w:val="%1.%2.%3."/>
        <w:lvlJc w:val="left"/>
        <w:pPr>
          <w:ind w:left="360" w:firstLine="360"/>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6" w16cid:durableId="1567912670">
    <w:abstractNumId w:val="6"/>
  </w:num>
  <w:num w:numId="7" w16cid:durableId="733235421">
    <w:abstractNumId w:val="2"/>
  </w:num>
  <w:num w:numId="8" w16cid:durableId="750468914">
    <w:abstractNumId w:val="5"/>
  </w:num>
  <w:num w:numId="9" w16cid:durableId="179662131">
    <w:abstractNumId w:val="1"/>
  </w:num>
  <w:num w:numId="10" w16cid:durableId="517425014">
    <w:abstractNumId w:val="9"/>
  </w:num>
  <w:num w:numId="11" w16cid:durableId="847132289">
    <w:abstractNumId w:val="8"/>
  </w:num>
  <w:num w:numId="12" w16cid:durableId="1517041244">
    <w:abstractNumId w:val="1"/>
  </w:num>
  <w:num w:numId="13" w16cid:durableId="1419520353">
    <w:abstractNumId w:val="12"/>
  </w:num>
  <w:num w:numId="14" w16cid:durableId="1845170998">
    <w:abstractNumId w:val="0"/>
  </w:num>
  <w:num w:numId="15" w16cid:durableId="1692220914">
    <w:abstractNumId w:val="13"/>
  </w:num>
  <w:num w:numId="16" w16cid:durableId="1547371208">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ric Clower">
    <w15:presenceInfo w15:providerId="Windows Live" w15:userId="5dd87d4fa8e412a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562"/>
    <w:rsid w:val="000142DE"/>
    <w:rsid w:val="000154C0"/>
    <w:rsid w:val="000304DC"/>
    <w:rsid w:val="00032A67"/>
    <w:rsid w:val="00032A91"/>
    <w:rsid w:val="00047857"/>
    <w:rsid w:val="000506A8"/>
    <w:rsid w:val="00050DF7"/>
    <w:rsid w:val="00051B80"/>
    <w:rsid w:val="000552EC"/>
    <w:rsid w:val="00056BC6"/>
    <w:rsid w:val="000664B9"/>
    <w:rsid w:val="00071E5D"/>
    <w:rsid w:val="0007525C"/>
    <w:rsid w:val="00076B47"/>
    <w:rsid w:val="000809B4"/>
    <w:rsid w:val="00081E27"/>
    <w:rsid w:val="0009208B"/>
    <w:rsid w:val="0009432E"/>
    <w:rsid w:val="00096731"/>
    <w:rsid w:val="000A51DB"/>
    <w:rsid w:val="000A67C2"/>
    <w:rsid w:val="000C561C"/>
    <w:rsid w:val="000D1172"/>
    <w:rsid w:val="000E221A"/>
    <w:rsid w:val="000F06F2"/>
    <w:rsid w:val="000F1165"/>
    <w:rsid w:val="001058BE"/>
    <w:rsid w:val="00121649"/>
    <w:rsid w:val="001243A5"/>
    <w:rsid w:val="00125D83"/>
    <w:rsid w:val="001338E3"/>
    <w:rsid w:val="00135B42"/>
    <w:rsid w:val="0016562C"/>
    <w:rsid w:val="00167D77"/>
    <w:rsid w:val="001906B6"/>
    <w:rsid w:val="001A53FD"/>
    <w:rsid w:val="001B3D78"/>
    <w:rsid w:val="001C09D4"/>
    <w:rsid w:val="001C285F"/>
    <w:rsid w:val="001C44A3"/>
    <w:rsid w:val="001C5606"/>
    <w:rsid w:val="001E144D"/>
    <w:rsid w:val="001E2765"/>
    <w:rsid w:val="001F1EA7"/>
    <w:rsid w:val="002233E5"/>
    <w:rsid w:val="00242950"/>
    <w:rsid w:val="0025763C"/>
    <w:rsid w:val="00265C07"/>
    <w:rsid w:val="002A1172"/>
    <w:rsid w:val="002A4FF4"/>
    <w:rsid w:val="002A6967"/>
    <w:rsid w:val="002B2EA0"/>
    <w:rsid w:val="002C035E"/>
    <w:rsid w:val="002C697C"/>
    <w:rsid w:val="002D2B36"/>
    <w:rsid w:val="002E65B3"/>
    <w:rsid w:val="002F729F"/>
    <w:rsid w:val="0030365B"/>
    <w:rsid w:val="003062E4"/>
    <w:rsid w:val="00306AF1"/>
    <w:rsid w:val="003100D9"/>
    <w:rsid w:val="00327825"/>
    <w:rsid w:val="003365C7"/>
    <w:rsid w:val="00383141"/>
    <w:rsid w:val="003A25FD"/>
    <w:rsid w:val="003B23CC"/>
    <w:rsid w:val="003C14D3"/>
    <w:rsid w:val="003C3E9F"/>
    <w:rsid w:val="003D0065"/>
    <w:rsid w:val="003D0EB9"/>
    <w:rsid w:val="003D4B23"/>
    <w:rsid w:val="003F28AE"/>
    <w:rsid w:val="003F56BF"/>
    <w:rsid w:val="004018BD"/>
    <w:rsid w:val="00402EEE"/>
    <w:rsid w:val="00412923"/>
    <w:rsid w:val="00412E33"/>
    <w:rsid w:val="00430497"/>
    <w:rsid w:val="0043373C"/>
    <w:rsid w:val="00437778"/>
    <w:rsid w:val="0044439E"/>
    <w:rsid w:val="00447F58"/>
    <w:rsid w:val="00450ECA"/>
    <w:rsid w:val="004647E0"/>
    <w:rsid w:val="0048744C"/>
    <w:rsid w:val="00490D9E"/>
    <w:rsid w:val="004B53CF"/>
    <w:rsid w:val="004C10BA"/>
    <w:rsid w:val="004C3D0C"/>
    <w:rsid w:val="004D2CEB"/>
    <w:rsid w:val="004D7F3C"/>
    <w:rsid w:val="004E4FE1"/>
    <w:rsid w:val="004F7C15"/>
    <w:rsid w:val="00514562"/>
    <w:rsid w:val="005168EB"/>
    <w:rsid w:val="00537A08"/>
    <w:rsid w:val="00540613"/>
    <w:rsid w:val="0056011C"/>
    <w:rsid w:val="00593CC4"/>
    <w:rsid w:val="00595E1C"/>
    <w:rsid w:val="005A27C9"/>
    <w:rsid w:val="005A68E5"/>
    <w:rsid w:val="005B13FF"/>
    <w:rsid w:val="005B2745"/>
    <w:rsid w:val="005B2DED"/>
    <w:rsid w:val="005D0392"/>
    <w:rsid w:val="005D4B5B"/>
    <w:rsid w:val="005E0D57"/>
    <w:rsid w:val="005E784B"/>
    <w:rsid w:val="005F2449"/>
    <w:rsid w:val="005F6903"/>
    <w:rsid w:val="00613400"/>
    <w:rsid w:val="00627C4B"/>
    <w:rsid w:val="0063059B"/>
    <w:rsid w:val="00644F8B"/>
    <w:rsid w:val="006452B5"/>
    <w:rsid w:val="00654812"/>
    <w:rsid w:val="00655C94"/>
    <w:rsid w:val="006569AB"/>
    <w:rsid w:val="00661A41"/>
    <w:rsid w:val="00663D37"/>
    <w:rsid w:val="006755F2"/>
    <w:rsid w:val="006A5099"/>
    <w:rsid w:val="006B0716"/>
    <w:rsid w:val="006B3DF6"/>
    <w:rsid w:val="006C5E09"/>
    <w:rsid w:val="006C7B1D"/>
    <w:rsid w:val="006E0740"/>
    <w:rsid w:val="006E306D"/>
    <w:rsid w:val="006F34C8"/>
    <w:rsid w:val="006F7A91"/>
    <w:rsid w:val="0072057D"/>
    <w:rsid w:val="0072430D"/>
    <w:rsid w:val="0073265E"/>
    <w:rsid w:val="007347B7"/>
    <w:rsid w:val="0073596E"/>
    <w:rsid w:val="00742560"/>
    <w:rsid w:val="007514AC"/>
    <w:rsid w:val="00757242"/>
    <w:rsid w:val="00787034"/>
    <w:rsid w:val="007A4099"/>
    <w:rsid w:val="007B46F9"/>
    <w:rsid w:val="007D73F1"/>
    <w:rsid w:val="007E4772"/>
    <w:rsid w:val="007F0F2F"/>
    <w:rsid w:val="0080279A"/>
    <w:rsid w:val="00824DD2"/>
    <w:rsid w:val="0082565B"/>
    <w:rsid w:val="00830BAC"/>
    <w:rsid w:val="00840833"/>
    <w:rsid w:val="00842DE0"/>
    <w:rsid w:val="008441BB"/>
    <w:rsid w:val="00847320"/>
    <w:rsid w:val="008575E0"/>
    <w:rsid w:val="00861A35"/>
    <w:rsid w:val="008A0DBB"/>
    <w:rsid w:val="008A126C"/>
    <w:rsid w:val="008A269E"/>
    <w:rsid w:val="008A5856"/>
    <w:rsid w:val="008B2EFD"/>
    <w:rsid w:val="008D43E4"/>
    <w:rsid w:val="008E1DB4"/>
    <w:rsid w:val="00903F74"/>
    <w:rsid w:val="00911593"/>
    <w:rsid w:val="0091182E"/>
    <w:rsid w:val="00911B49"/>
    <w:rsid w:val="00915D1E"/>
    <w:rsid w:val="00923535"/>
    <w:rsid w:val="00925813"/>
    <w:rsid w:val="009321CF"/>
    <w:rsid w:val="00935EAC"/>
    <w:rsid w:val="00943A98"/>
    <w:rsid w:val="00983985"/>
    <w:rsid w:val="009861B4"/>
    <w:rsid w:val="009A0E29"/>
    <w:rsid w:val="009A2BE3"/>
    <w:rsid w:val="009C67F2"/>
    <w:rsid w:val="009C7570"/>
    <w:rsid w:val="009D4C29"/>
    <w:rsid w:val="009D5B3B"/>
    <w:rsid w:val="009E0C97"/>
    <w:rsid w:val="009E3C18"/>
    <w:rsid w:val="009F0FA4"/>
    <w:rsid w:val="009F21DE"/>
    <w:rsid w:val="009F5067"/>
    <w:rsid w:val="009F6985"/>
    <w:rsid w:val="00A02566"/>
    <w:rsid w:val="00A116AA"/>
    <w:rsid w:val="00A1493E"/>
    <w:rsid w:val="00A47BA6"/>
    <w:rsid w:val="00A54508"/>
    <w:rsid w:val="00A54D39"/>
    <w:rsid w:val="00A56A40"/>
    <w:rsid w:val="00A94697"/>
    <w:rsid w:val="00A9747B"/>
    <w:rsid w:val="00AA52AD"/>
    <w:rsid w:val="00AA71FA"/>
    <w:rsid w:val="00AB18F9"/>
    <w:rsid w:val="00AD6C93"/>
    <w:rsid w:val="00AD7F5C"/>
    <w:rsid w:val="00AE68EA"/>
    <w:rsid w:val="00AE739C"/>
    <w:rsid w:val="00AF62E7"/>
    <w:rsid w:val="00B112B8"/>
    <w:rsid w:val="00B16FB1"/>
    <w:rsid w:val="00B170F1"/>
    <w:rsid w:val="00B24B60"/>
    <w:rsid w:val="00B25BC1"/>
    <w:rsid w:val="00B360FA"/>
    <w:rsid w:val="00B51AE5"/>
    <w:rsid w:val="00B52AFB"/>
    <w:rsid w:val="00B577F6"/>
    <w:rsid w:val="00B6309B"/>
    <w:rsid w:val="00B65080"/>
    <w:rsid w:val="00B72B14"/>
    <w:rsid w:val="00B75B8F"/>
    <w:rsid w:val="00B830BC"/>
    <w:rsid w:val="00B90693"/>
    <w:rsid w:val="00B9166A"/>
    <w:rsid w:val="00BA034D"/>
    <w:rsid w:val="00BB0B2E"/>
    <w:rsid w:val="00BC2164"/>
    <w:rsid w:val="00BC3CC9"/>
    <w:rsid w:val="00BD2859"/>
    <w:rsid w:val="00BD352B"/>
    <w:rsid w:val="00BE0FB7"/>
    <w:rsid w:val="00C072E5"/>
    <w:rsid w:val="00C24EE4"/>
    <w:rsid w:val="00C273FB"/>
    <w:rsid w:val="00C45466"/>
    <w:rsid w:val="00C45855"/>
    <w:rsid w:val="00C5128C"/>
    <w:rsid w:val="00C5713F"/>
    <w:rsid w:val="00C726EB"/>
    <w:rsid w:val="00C72A98"/>
    <w:rsid w:val="00C740B6"/>
    <w:rsid w:val="00C77054"/>
    <w:rsid w:val="00C824D3"/>
    <w:rsid w:val="00C83EF7"/>
    <w:rsid w:val="00C868B2"/>
    <w:rsid w:val="00C93255"/>
    <w:rsid w:val="00C97140"/>
    <w:rsid w:val="00CB3F8E"/>
    <w:rsid w:val="00CB6AC9"/>
    <w:rsid w:val="00CD5355"/>
    <w:rsid w:val="00CD6291"/>
    <w:rsid w:val="00CE1920"/>
    <w:rsid w:val="00CE77B9"/>
    <w:rsid w:val="00CF625E"/>
    <w:rsid w:val="00D03F05"/>
    <w:rsid w:val="00D15B87"/>
    <w:rsid w:val="00D37400"/>
    <w:rsid w:val="00D6710A"/>
    <w:rsid w:val="00D674E5"/>
    <w:rsid w:val="00D74805"/>
    <w:rsid w:val="00DA4F11"/>
    <w:rsid w:val="00DA6BFB"/>
    <w:rsid w:val="00DC2297"/>
    <w:rsid w:val="00DC3892"/>
    <w:rsid w:val="00DC6DB1"/>
    <w:rsid w:val="00DD09F0"/>
    <w:rsid w:val="00DD3699"/>
    <w:rsid w:val="00DD5DFD"/>
    <w:rsid w:val="00DD6406"/>
    <w:rsid w:val="00DE1A4B"/>
    <w:rsid w:val="00DE342F"/>
    <w:rsid w:val="00DE4F49"/>
    <w:rsid w:val="00DE500B"/>
    <w:rsid w:val="00DE7A8F"/>
    <w:rsid w:val="00E027C4"/>
    <w:rsid w:val="00E0296D"/>
    <w:rsid w:val="00E11ECD"/>
    <w:rsid w:val="00E17974"/>
    <w:rsid w:val="00E20557"/>
    <w:rsid w:val="00E26DC3"/>
    <w:rsid w:val="00E32E3E"/>
    <w:rsid w:val="00E40C4B"/>
    <w:rsid w:val="00E53F7F"/>
    <w:rsid w:val="00E548CC"/>
    <w:rsid w:val="00E572C5"/>
    <w:rsid w:val="00E60FB9"/>
    <w:rsid w:val="00E629A1"/>
    <w:rsid w:val="00E75F08"/>
    <w:rsid w:val="00E92F06"/>
    <w:rsid w:val="00E93A7A"/>
    <w:rsid w:val="00E93CE8"/>
    <w:rsid w:val="00E949C1"/>
    <w:rsid w:val="00EA6E5F"/>
    <w:rsid w:val="00ED0156"/>
    <w:rsid w:val="00EE39B4"/>
    <w:rsid w:val="00EF10A7"/>
    <w:rsid w:val="00EF66A6"/>
    <w:rsid w:val="00EF7888"/>
    <w:rsid w:val="00F06AEF"/>
    <w:rsid w:val="00F164DB"/>
    <w:rsid w:val="00F317EF"/>
    <w:rsid w:val="00F340A3"/>
    <w:rsid w:val="00F4509E"/>
    <w:rsid w:val="00F529CF"/>
    <w:rsid w:val="00F60CC8"/>
    <w:rsid w:val="00F61B6F"/>
    <w:rsid w:val="00F83AF3"/>
    <w:rsid w:val="00F87B1E"/>
    <w:rsid w:val="00FC00C8"/>
    <w:rsid w:val="00FC298E"/>
    <w:rsid w:val="00FD1C39"/>
    <w:rsid w:val="00FD4624"/>
    <w:rsid w:val="00FD4C07"/>
    <w:rsid w:val="00FE1366"/>
    <w:rsid w:val="00FE3AAF"/>
    <w:rsid w:val="00FE5C20"/>
    <w:rsid w:val="00FF05B6"/>
    <w:rsid w:val="3F82F0DF"/>
    <w:rsid w:val="5491219E"/>
    <w:rsid w:val="58085007"/>
    <w:rsid w:val="7F26786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FA78B"/>
  <w15:chartTrackingRefBased/>
  <w15:docId w15:val="{ECCF6ADE-B103-4554-B358-126EF5F4D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3F05"/>
    <w:rPr>
      <w:rFonts w:ascii="Times New Roman" w:hAnsi="Times New Roman"/>
      <w:kern w:val="0"/>
      <w:sz w:val="24"/>
      <w14:ligatures w14:val="none"/>
    </w:rPr>
  </w:style>
  <w:style w:type="paragraph" w:styleId="Heading1">
    <w:name w:val="heading 1"/>
    <w:basedOn w:val="Normal"/>
    <w:next w:val="Normal"/>
    <w:link w:val="Heading1Char"/>
    <w:autoRedefine/>
    <w:uiPriority w:val="9"/>
    <w:qFormat/>
    <w:rsid w:val="00306AF1"/>
    <w:pPr>
      <w:keepNext/>
      <w:keepLines/>
      <w:numPr>
        <w:numId w:val="9"/>
      </w:numPr>
      <w:spacing w:before="240" w:after="0"/>
      <w:ind w:left="0" w:right="115" w:firstLine="0"/>
      <w:jc w:val="both"/>
      <w:outlineLvl w:val="0"/>
    </w:pPr>
    <w:rPr>
      <w:rFonts w:eastAsia="Times New Roman" w:cstheme="majorBidi"/>
      <w:b/>
      <w:color w:val="000000" w:themeColor="text1"/>
      <w:sz w:val="32"/>
      <w:szCs w:val="32"/>
    </w:rPr>
  </w:style>
  <w:style w:type="paragraph" w:styleId="Heading2">
    <w:name w:val="heading 2"/>
    <w:basedOn w:val="Normal"/>
    <w:next w:val="Normal"/>
    <w:link w:val="Heading2Char"/>
    <w:autoRedefine/>
    <w:uiPriority w:val="9"/>
    <w:unhideWhenUsed/>
    <w:qFormat/>
    <w:rsid w:val="00903F74"/>
    <w:pPr>
      <w:keepNext/>
      <w:keepLines/>
      <w:numPr>
        <w:ilvl w:val="1"/>
        <w:numId w:val="9"/>
      </w:numPr>
      <w:spacing w:before="40" w:after="0"/>
      <w:jc w:val="both"/>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uiPriority w:val="9"/>
    <w:unhideWhenUsed/>
    <w:qFormat/>
    <w:rsid w:val="004B53CF"/>
    <w:pPr>
      <w:keepNext/>
      <w:keepLines/>
      <w:numPr>
        <w:ilvl w:val="2"/>
        <w:numId w:val="9"/>
      </w:numPr>
      <w:spacing w:before="40" w:after="0"/>
      <w:ind w:left="878"/>
      <w:outlineLvl w:val="2"/>
    </w:pPr>
    <w:rPr>
      <w:rFonts w:asciiTheme="majorHAnsi" w:eastAsiaTheme="majorEastAsia" w:hAnsiTheme="majorHAnsi" w:cstheme="majorBidi"/>
      <w:color w:val="000000" w:themeColor="text1"/>
      <w:szCs w:val="24"/>
    </w:rPr>
  </w:style>
  <w:style w:type="paragraph" w:styleId="Heading4">
    <w:name w:val="heading 4"/>
    <w:basedOn w:val="Normal"/>
    <w:next w:val="Normal"/>
    <w:link w:val="Heading4Char"/>
    <w:uiPriority w:val="9"/>
    <w:semiHidden/>
    <w:unhideWhenUsed/>
    <w:qFormat/>
    <w:rsid w:val="00514562"/>
    <w:pPr>
      <w:keepNext/>
      <w:keepLines/>
      <w:numPr>
        <w:ilvl w:val="3"/>
        <w:numId w:val="9"/>
      </w:numPr>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14562"/>
    <w:pPr>
      <w:keepNext/>
      <w:keepLines/>
      <w:numPr>
        <w:ilvl w:val="4"/>
        <w:numId w:val="9"/>
      </w:numPr>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14562"/>
    <w:pPr>
      <w:keepNext/>
      <w:keepLines/>
      <w:numPr>
        <w:ilvl w:val="5"/>
        <w:numId w:val="9"/>
      </w:num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14562"/>
    <w:pPr>
      <w:keepNext/>
      <w:keepLines/>
      <w:numPr>
        <w:ilvl w:val="6"/>
        <w:numId w:val="9"/>
      </w:num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14562"/>
    <w:pPr>
      <w:keepNext/>
      <w:keepLines/>
      <w:numPr>
        <w:ilvl w:val="7"/>
        <w:numId w:val="9"/>
      </w:num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14562"/>
    <w:pPr>
      <w:keepNext/>
      <w:keepLines/>
      <w:numPr>
        <w:ilvl w:val="8"/>
        <w:numId w:val="9"/>
      </w:num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AF1"/>
    <w:rPr>
      <w:rFonts w:ascii="Times New Roman" w:eastAsia="Times New Roman" w:hAnsi="Times New Roman" w:cstheme="majorBidi"/>
      <w:b/>
      <w:color w:val="000000" w:themeColor="text1"/>
      <w:kern w:val="0"/>
      <w:sz w:val="32"/>
      <w:szCs w:val="32"/>
      <w14:ligatures w14:val="none"/>
    </w:rPr>
  </w:style>
  <w:style w:type="character" w:customStyle="1" w:styleId="Heading2Char">
    <w:name w:val="Heading 2 Char"/>
    <w:basedOn w:val="DefaultParagraphFont"/>
    <w:link w:val="Heading2"/>
    <w:uiPriority w:val="9"/>
    <w:rsid w:val="00903F74"/>
    <w:rPr>
      <w:rFonts w:asciiTheme="majorHAnsi" w:eastAsiaTheme="majorEastAsia" w:hAnsiTheme="majorHAnsi" w:cstheme="majorBidi"/>
      <w:b/>
      <w:kern w:val="0"/>
      <w:sz w:val="26"/>
      <w:szCs w:val="26"/>
      <w14:ligatures w14:val="none"/>
    </w:rPr>
  </w:style>
  <w:style w:type="character" w:styleId="Emphasis">
    <w:name w:val="Emphasis"/>
    <w:basedOn w:val="DefaultParagraphFont"/>
    <w:uiPriority w:val="20"/>
    <w:qFormat/>
    <w:rsid w:val="000F06F2"/>
    <w:rPr>
      <w:i/>
      <w:iCs/>
    </w:rPr>
  </w:style>
  <w:style w:type="paragraph" w:styleId="NoSpacing">
    <w:name w:val="No Spacing"/>
    <w:link w:val="NoSpacingChar"/>
    <w:uiPriority w:val="1"/>
    <w:qFormat/>
    <w:rsid w:val="000F06F2"/>
    <w:pPr>
      <w:spacing w:after="0" w:line="240" w:lineRule="auto"/>
    </w:pPr>
    <w:rPr>
      <w:rFonts w:ascii="Times New Roman" w:eastAsiaTheme="minorEastAsia" w:hAnsi="Times New Roman"/>
      <w:sz w:val="24"/>
      <w:lang w:eastAsia="fr-FR"/>
    </w:rPr>
  </w:style>
  <w:style w:type="character" w:customStyle="1" w:styleId="NoSpacingChar">
    <w:name w:val="No Spacing Char"/>
    <w:basedOn w:val="DefaultParagraphFont"/>
    <w:link w:val="NoSpacing"/>
    <w:uiPriority w:val="1"/>
    <w:rsid w:val="000F06F2"/>
    <w:rPr>
      <w:rFonts w:ascii="Times New Roman" w:eastAsiaTheme="minorEastAsia" w:hAnsi="Times New Roman"/>
      <w:sz w:val="24"/>
      <w:lang w:eastAsia="fr-FR"/>
    </w:rPr>
  </w:style>
  <w:style w:type="paragraph" w:styleId="ListParagraph">
    <w:name w:val="List Paragraph"/>
    <w:basedOn w:val="Normal"/>
    <w:uiPriority w:val="34"/>
    <w:qFormat/>
    <w:rsid w:val="000F06F2"/>
    <w:pPr>
      <w:ind w:left="720"/>
      <w:contextualSpacing/>
    </w:pPr>
  </w:style>
  <w:style w:type="character" w:styleId="SubtleEmphasis">
    <w:name w:val="Subtle Emphasis"/>
    <w:basedOn w:val="DefaultParagraphFont"/>
    <w:uiPriority w:val="19"/>
    <w:qFormat/>
    <w:rsid w:val="000F06F2"/>
    <w:rPr>
      <w:i/>
      <w:iCs/>
      <w:color w:val="404040" w:themeColor="text1" w:themeTint="BF"/>
    </w:rPr>
  </w:style>
  <w:style w:type="character" w:styleId="BookTitle">
    <w:name w:val="Book Title"/>
    <w:basedOn w:val="DefaultParagraphFont"/>
    <w:uiPriority w:val="33"/>
    <w:qFormat/>
    <w:rsid w:val="000F06F2"/>
    <w:rPr>
      <w:b/>
      <w:bCs/>
      <w:i/>
      <w:iCs/>
      <w:spacing w:val="5"/>
    </w:rPr>
  </w:style>
  <w:style w:type="character" w:customStyle="1" w:styleId="Heading3Char">
    <w:name w:val="Heading 3 Char"/>
    <w:basedOn w:val="DefaultParagraphFont"/>
    <w:link w:val="Heading3"/>
    <w:uiPriority w:val="9"/>
    <w:rsid w:val="004B53CF"/>
    <w:rPr>
      <w:rFonts w:asciiTheme="majorHAnsi" w:eastAsiaTheme="majorEastAsia" w:hAnsiTheme="majorHAnsi" w:cstheme="majorBidi"/>
      <w:color w:val="000000" w:themeColor="text1"/>
      <w:kern w:val="0"/>
      <w:sz w:val="24"/>
      <w:szCs w:val="24"/>
      <w14:ligatures w14:val="none"/>
    </w:rPr>
  </w:style>
  <w:style w:type="paragraph" w:styleId="Caption">
    <w:name w:val="caption"/>
    <w:basedOn w:val="Normal"/>
    <w:next w:val="Normal"/>
    <w:uiPriority w:val="35"/>
    <w:unhideWhenUsed/>
    <w:qFormat/>
    <w:rsid w:val="000F06F2"/>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0F06F2"/>
    <w:pPr>
      <w:outlineLvl w:val="9"/>
    </w:pPr>
    <w:rPr>
      <w:rFonts w:asciiTheme="majorHAnsi" w:hAnsiTheme="majorHAnsi"/>
      <w:b w:val="0"/>
      <w:lang w:eastAsia="fr-FR"/>
    </w:rPr>
  </w:style>
  <w:style w:type="character" w:customStyle="1" w:styleId="Heading4Char">
    <w:name w:val="Heading 4 Char"/>
    <w:basedOn w:val="DefaultParagraphFont"/>
    <w:link w:val="Heading4"/>
    <w:uiPriority w:val="9"/>
    <w:semiHidden/>
    <w:rsid w:val="00514562"/>
    <w:rPr>
      <w:rFonts w:eastAsiaTheme="majorEastAsia" w:cstheme="majorBidi"/>
      <w:i/>
      <w:iCs/>
      <w:color w:val="0F4761" w:themeColor="accent1" w:themeShade="BF"/>
      <w:kern w:val="0"/>
      <w:sz w:val="24"/>
      <w14:ligatures w14:val="none"/>
    </w:rPr>
  </w:style>
  <w:style w:type="character" w:customStyle="1" w:styleId="Heading5Char">
    <w:name w:val="Heading 5 Char"/>
    <w:basedOn w:val="DefaultParagraphFont"/>
    <w:link w:val="Heading5"/>
    <w:uiPriority w:val="9"/>
    <w:semiHidden/>
    <w:rsid w:val="00514562"/>
    <w:rPr>
      <w:rFonts w:eastAsiaTheme="majorEastAsia" w:cstheme="majorBidi"/>
      <w:color w:val="0F4761" w:themeColor="accent1" w:themeShade="BF"/>
      <w:kern w:val="0"/>
      <w:sz w:val="24"/>
      <w14:ligatures w14:val="none"/>
    </w:rPr>
  </w:style>
  <w:style w:type="character" w:customStyle="1" w:styleId="Heading6Char">
    <w:name w:val="Heading 6 Char"/>
    <w:basedOn w:val="DefaultParagraphFont"/>
    <w:link w:val="Heading6"/>
    <w:uiPriority w:val="9"/>
    <w:semiHidden/>
    <w:rsid w:val="00514562"/>
    <w:rPr>
      <w:rFonts w:eastAsiaTheme="majorEastAsia" w:cstheme="majorBidi"/>
      <w:i/>
      <w:iCs/>
      <w:color w:val="595959" w:themeColor="text1" w:themeTint="A6"/>
      <w:kern w:val="0"/>
      <w:sz w:val="24"/>
      <w14:ligatures w14:val="none"/>
    </w:rPr>
  </w:style>
  <w:style w:type="character" w:customStyle="1" w:styleId="Heading7Char">
    <w:name w:val="Heading 7 Char"/>
    <w:basedOn w:val="DefaultParagraphFont"/>
    <w:link w:val="Heading7"/>
    <w:uiPriority w:val="9"/>
    <w:semiHidden/>
    <w:rsid w:val="00514562"/>
    <w:rPr>
      <w:rFonts w:eastAsiaTheme="majorEastAsia" w:cstheme="majorBidi"/>
      <w:color w:val="595959" w:themeColor="text1" w:themeTint="A6"/>
      <w:kern w:val="0"/>
      <w:sz w:val="24"/>
      <w14:ligatures w14:val="none"/>
    </w:rPr>
  </w:style>
  <w:style w:type="character" w:customStyle="1" w:styleId="Heading8Char">
    <w:name w:val="Heading 8 Char"/>
    <w:basedOn w:val="DefaultParagraphFont"/>
    <w:link w:val="Heading8"/>
    <w:uiPriority w:val="9"/>
    <w:semiHidden/>
    <w:rsid w:val="00514562"/>
    <w:rPr>
      <w:rFonts w:eastAsiaTheme="majorEastAsia" w:cstheme="majorBidi"/>
      <w:i/>
      <w:iCs/>
      <w:color w:val="272727" w:themeColor="text1" w:themeTint="D8"/>
      <w:kern w:val="0"/>
      <w:sz w:val="24"/>
      <w14:ligatures w14:val="none"/>
    </w:rPr>
  </w:style>
  <w:style w:type="character" w:customStyle="1" w:styleId="Heading9Char">
    <w:name w:val="Heading 9 Char"/>
    <w:basedOn w:val="DefaultParagraphFont"/>
    <w:link w:val="Heading9"/>
    <w:uiPriority w:val="9"/>
    <w:semiHidden/>
    <w:rsid w:val="00514562"/>
    <w:rPr>
      <w:rFonts w:eastAsiaTheme="majorEastAsia" w:cstheme="majorBidi"/>
      <w:color w:val="272727" w:themeColor="text1" w:themeTint="D8"/>
      <w:kern w:val="0"/>
      <w:sz w:val="24"/>
      <w14:ligatures w14:val="none"/>
    </w:rPr>
  </w:style>
  <w:style w:type="paragraph" w:styleId="Title">
    <w:name w:val="Title"/>
    <w:basedOn w:val="Normal"/>
    <w:next w:val="Normal"/>
    <w:link w:val="TitleChar"/>
    <w:uiPriority w:val="10"/>
    <w:qFormat/>
    <w:rsid w:val="005145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4562"/>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51456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4562"/>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514562"/>
    <w:pPr>
      <w:spacing w:before="160"/>
      <w:jc w:val="center"/>
    </w:pPr>
    <w:rPr>
      <w:i/>
      <w:iCs/>
      <w:color w:val="404040" w:themeColor="text1" w:themeTint="BF"/>
    </w:rPr>
  </w:style>
  <w:style w:type="character" w:customStyle="1" w:styleId="QuoteChar">
    <w:name w:val="Quote Char"/>
    <w:basedOn w:val="DefaultParagraphFont"/>
    <w:link w:val="Quote"/>
    <w:uiPriority w:val="29"/>
    <w:rsid w:val="00514562"/>
    <w:rPr>
      <w:rFonts w:ascii="Times New Roman" w:hAnsi="Times New Roman"/>
      <w:i/>
      <w:iCs/>
      <w:color w:val="404040" w:themeColor="text1" w:themeTint="BF"/>
      <w:kern w:val="0"/>
      <w:sz w:val="24"/>
      <w14:ligatures w14:val="none"/>
    </w:rPr>
  </w:style>
  <w:style w:type="character" w:styleId="IntenseEmphasis">
    <w:name w:val="Intense Emphasis"/>
    <w:basedOn w:val="DefaultParagraphFont"/>
    <w:uiPriority w:val="21"/>
    <w:qFormat/>
    <w:rsid w:val="00514562"/>
    <w:rPr>
      <w:i/>
      <w:iCs/>
      <w:color w:val="0F4761" w:themeColor="accent1" w:themeShade="BF"/>
    </w:rPr>
  </w:style>
  <w:style w:type="paragraph" w:styleId="IntenseQuote">
    <w:name w:val="Intense Quote"/>
    <w:basedOn w:val="Normal"/>
    <w:next w:val="Normal"/>
    <w:link w:val="IntenseQuoteChar"/>
    <w:uiPriority w:val="30"/>
    <w:qFormat/>
    <w:rsid w:val="005145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4562"/>
    <w:rPr>
      <w:rFonts w:ascii="Times New Roman" w:hAnsi="Times New Roman"/>
      <w:i/>
      <w:iCs/>
      <w:color w:val="0F4761" w:themeColor="accent1" w:themeShade="BF"/>
      <w:kern w:val="0"/>
      <w:sz w:val="24"/>
      <w14:ligatures w14:val="none"/>
    </w:rPr>
  </w:style>
  <w:style w:type="character" w:styleId="IntenseReference">
    <w:name w:val="Intense Reference"/>
    <w:basedOn w:val="DefaultParagraphFont"/>
    <w:uiPriority w:val="32"/>
    <w:qFormat/>
    <w:rsid w:val="00514562"/>
    <w:rPr>
      <w:b/>
      <w:bCs/>
      <w:smallCaps/>
      <w:color w:val="0F4761" w:themeColor="accent1" w:themeShade="BF"/>
      <w:spacing w:val="5"/>
    </w:rPr>
  </w:style>
  <w:style w:type="table" w:customStyle="1" w:styleId="TableNormal1">
    <w:name w:val="Table Normal1"/>
    <w:uiPriority w:val="2"/>
    <w:semiHidden/>
    <w:unhideWhenUsed/>
    <w:qFormat/>
    <w:rsid w:val="00514562"/>
    <w:pPr>
      <w:widowControl w:val="0"/>
      <w:autoSpaceDE w:val="0"/>
      <w:autoSpaceDN w:val="0"/>
      <w:spacing w:after="0" w:line="240" w:lineRule="auto"/>
    </w:pPr>
    <w:rPr>
      <w:kern w:val="0"/>
      <w14:ligatures w14:val="none"/>
    </w:rPr>
    <w:tblPr>
      <w:tblInd w:w="0" w:type="dxa"/>
      <w:tblCellMar>
        <w:top w:w="0" w:type="dxa"/>
        <w:left w:w="0" w:type="dxa"/>
        <w:bottom w:w="0" w:type="dxa"/>
        <w:right w:w="0" w:type="dxa"/>
      </w:tblCellMar>
    </w:tblPr>
  </w:style>
  <w:style w:type="character" w:customStyle="1" w:styleId="Lienhypertexte1">
    <w:name w:val="Lien hypertexte1"/>
    <w:basedOn w:val="DefaultParagraphFont"/>
    <w:uiPriority w:val="99"/>
    <w:unhideWhenUsed/>
    <w:rsid w:val="00514562"/>
    <w:rPr>
      <w:color w:val="0000FF"/>
      <w:u w:val="single"/>
    </w:rPr>
  </w:style>
  <w:style w:type="paragraph" w:styleId="Footer">
    <w:name w:val="footer"/>
    <w:basedOn w:val="Normal"/>
    <w:link w:val="FooterChar"/>
    <w:uiPriority w:val="99"/>
    <w:unhideWhenUsed/>
    <w:rsid w:val="00514562"/>
    <w:pPr>
      <w:widowControl w:val="0"/>
      <w:tabs>
        <w:tab w:val="center" w:pos="4703"/>
        <w:tab w:val="right" w:pos="9406"/>
      </w:tabs>
      <w:autoSpaceDE w:val="0"/>
      <w:autoSpaceDN w:val="0"/>
      <w:spacing w:after="0" w:line="240" w:lineRule="auto"/>
    </w:pPr>
    <w:rPr>
      <w:rFonts w:eastAsia="Times New Roman" w:cs="Times New Roman"/>
      <w:sz w:val="22"/>
    </w:rPr>
  </w:style>
  <w:style w:type="character" w:customStyle="1" w:styleId="FooterChar">
    <w:name w:val="Footer Char"/>
    <w:basedOn w:val="DefaultParagraphFont"/>
    <w:link w:val="Footer"/>
    <w:uiPriority w:val="99"/>
    <w:rsid w:val="00514562"/>
    <w:rPr>
      <w:rFonts w:ascii="Times New Roman" w:eastAsia="Times New Roman" w:hAnsi="Times New Roman" w:cs="Times New Roman"/>
      <w:kern w:val="0"/>
      <w14:ligatures w14:val="none"/>
    </w:rPr>
  </w:style>
  <w:style w:type="paragraph" w:styleId="FootnoteText">
    <w:name w:val="footnote text"/>
    <w:basedOn w:val="Normal"/>
    <w:link w:val="FootnoteTextChar"/>
    <w:uiPriority w:val="99"/>
    <w:unhideWhenUsed/>
    <w:rsid w:val="00514562"/>
    <w:pPr>
      <w:widowControl w:val="0"/>
      <w:autoSpaceDE w:val="0"/>
      <w:autoSpaceDN w:val="0"/>
      <w:spacing w:after="0" w:line="240" w:lineRule="auto"/>
    </w:pPr>
    <w:rPr>
      <w:rFonts w:eastAsia="Times New Roman" w:cs="Times New Roman"/>
      <w:sz w:val="20"/>
      <w:szCs w:val="20"/>
    </w:rPr>
  </w:style>
  <w:style w:type="character" w:customStyle="1" w:styleId="FootnoteTextChar">
    <w:name w:val="Footnote Text Char"/>
    <w:basedOn w:val="DefaultParagraphFont"/>
    <w:link w:val="FootnoteText"/>
    <w:uiPriority w:val="99"/>
    <w:rsid w:val="00514562"/>
    <w:rPr>
      <w:rFonts w:ascii="Times New Roman" w:eastAsia="Times New Roman" w:hAnsi="Times New Roman" w:cs="Times New Roman"/>
      <w:kern w:val="0"/>
      <w:sz w:val="20"/>
      <w:szCs w:val="20"/>
      <w14:ligatures w14:val="none"/>
    </w:rPr>
  </w:style>
  <w:style w:type="character" w:styleId="FootnoteReference">
    <w:name w:val="footnote reference"/>
    <w:basedOn w:val="DefaultParagraphFont"/>
    <w:uiPriority w:val="99"/>
    <w:semiHidden/>
    <w:unhideWhenUsed/>
    <w:rsid w:val="00514562"/>
    <w:rPr>
      <w:vertAlign w:val="superscript"/>
    </w:rPr>
  </w:style>
  <w:style w:type="character" w:styleId="CommentReference">
    <w:name w:val="annotation reference"/>
    <w:basedOn w:val="DefaultParagraphFont"/>
    <w:uiPriority w:val="99"/>
    <w:semiHidden/>
    <w:unhideWhenUsed/>
    <w:rsid w:val="00514562"/>
    <w:rPr>
      <w:sz w:val="16"/>
      <w:szCs w:val="16"/>
    </w:rPr>
  </w:style>
  <w:style w:type="paragraph" w:styleId="CommentText">
    <w:name w:val="annotation text"/>
    <w:basedOn w:val="Normal"/>
    <w:link w:val="CommentTextChar"/>
    <w:uiPriority w:val="99"/>
    <w:unhideWhenUsed/>
    <w:rsid w:val="00514562"/>
    <w:pPr>
      <w:widowControl w:val="0"/>
      <w:autoSpaceDE w:val="0"/>
      <w:autoSpaceDN w:val="0"/>
      <w:spacing w:after="0" w:line="240" w:lineRule="auto"/>
    </w:pPr>
    <w:rPr>
      <w:rFonts w:eastAsia="Times New Roman" w:cs="Times New Roman"/>
      <w:sz w:val="20"/>
      <w:szCs w:val="20"/>
    </w:rPr>
  </w:style>
  <w:style w:type="character" w:customStyle="1" w:styleId="CommentTextChar">
    <w:name w:val="Comment Text Char"/>
    <w:basedOn w:val="DefaultParagraphFont"/>
    <w:link w:val="CommentText"/>
    <w:uiPriority w:val="99"/>
    <w:rsid w:val="00514562"/>
    <w:rPr>
      <w:rFonts w:ascii="Times New Roman" w:eastAsia="Times New Roman" w:hAnsi="Times New Roman" w:cs="Times New Roman"/>
      <w:kern w:val="0"/>
      <w:sz w:val="20"/>
      <w:szCs w:val="20"/>
      <w14:ligatures w14:val="none"/>
    </w:rPr>
  </w:style>
  <w:style w:type="character" w:styleId="Hyperlink">
    <w:name w:val="Hyperlink"/>
    <w:basedOn w:val="DefaultParagraphFont"/>
    <w:uiPriority w:val="99"/>
    <w:unhideWhenUsed/>
    <w:rsid w:val="00514562"/>
    <w:rPr>
      <w:color w:val="467886" w:themeColor="hyperlink"/>
      <w:u w:val="single"/>
    </w:rPr>
  </w:style>
  <w:style w:type="character" w:styleId="UnresolvedMention">
    <w:name w:val="Unresolved Mention"/>
    <w:basedOn w:val="DefaultParagraphFont"/>
    <w:uiPriority w:val="99"/>
    <w:semiHidden/>
    <w:unhideWhenUsed/>
    <w:rsid w:val="00514562"/>
    <w:rPr>
      <w:color w:val="605E5C"/>
      <w:shd w:val="clear" w:color="auto" w:fill="E1DFDD"/>
    </w:rPr>
  </w:style>
  <w:style w:type="paragraph" w:styleId="Header">
    <w:name w:val="header"/>
    <w:basedOn w:val="Normal"/>
    <w:link w:val="HeaderChar"/>
    <w:uiPriority w:val="99"/>
    <w:unhideWhenUsed/>
    <w:rsid w:val="00514562"/>
    <w:pPr>
      <w:tabs>
        <w:tab w:val="center" w:pos="4703"/>
        <w:tab w:val="right" w:pos="9406"/>
      </w:tabs>
      <w:spacing w:after="0" w:line="240" w:lineRule="auto"/>
    </w:pPr>
  </w:style>
  <w:style w:type="character" w:customStyle="1" w:styleId="HeaderChar">
    <w:name w:val="Header Char"/>
    <w:basedOn w:val="DefaultParagraphFont"/>
    <w:link w:val="Header"/>
    <w:uiPriority w:val="99"/>
    <w:rsid w:val="00514562"/>
    <w:rPr>
      <w:rFonts w:ascii="Times New Roman" w:hAnsi="Times New Roman"/>
      <w:kern w:val="0"/>
      <w:sz w:val="24"/>
      <w14:ligatures w14:val="none"/>
    </w:rPr>
  </w:style>
  <w:style w:type="character" w:styleId="FollowedHyperlink">
    <w:name w:val="FollowedHyperlink"/>
    <w:basedOn w:val="DefaultParagraphFont"/>
    <w:uiPriority w:val="99"/>
    <w:semiHidden/>
    <w:unhideWhenUsed/>
    <w:rsid w:val="005A68E5"/>
    <w:rPr>
      <w:color w:val="954F72"/>
      <w:u w:val="single"/>
    </w:rPr>
  </w:style>
  <w:style w:type="paragraph" w:customStyle="1" w:styleId="msonormal0">
    <w:name w:val="msonormal"/>
    <w:basedOn w:val="Normal"/>
    <w:rsid w:val="005A68E5"/>
    <w:pPr>
      <w:spacing w:before="100" w:beforeAutospacing="1" w:after="100" w:afterAutospacing="1" w:line="240" w:lineRule="auto"/>
    </w:pPr>
    <w:rPr>
      <w:rFonts w:eastAsia="Times New Roman" w:cs="Times New Roman"/>
      <w:szCs w:val="24"/>
    </w:rPr>
  </w:style>
  <w:style w:type="paragraph" w:customStyle="1" w:styleId="xl65">
    <w:name w:val="xl65"/>
    <w:basedOn w:val="Normal"/>
    <w:rsid w:val="005A68E5"/>
    <w:pPr>
      <w:spacing w:before="100" w:beforeAutospacing="1" w:after="100" w:afterAutospacing="1" w:line="240" w:lineRule="auto"/>
    </w:pPr>
    <w:rPr>
      <w:rFonts w:eastAsia="Times New Roman" w:cs="Times New Roman"/>
      <w:b/>
      <w:bCs/>
      <w:szCs w:val="24"/>
    </w:rPr>
  </w:style>
  <w:style w:type="character" w:styleId="PlaceholderText">
    <w:name w:val="Placeholder Text"/>
    <w:basedOn w:val="DefaultParagraphFont"/>
    <w:uiPriority w:val="99"/>
    <w:semiHidden/>
    <w:rsid w:val="000304DC"/>
    <w:rPr>
      <w:color w:val="666666"/>
    </w:rPr>
  </w:style>
  <w:style w:type="paragraph" w:styleId="CommentSubject">
    <w:name w:val="annotation subject"/>
    <w:basedOn w:val="CommentText"/>
    <w:next w:val="CommentText"/>
    <w:link w:val="CommentSubjectChar"/>
    <w:uiPriority w:val="99"/>
    <w:semiHidden/>
    <w:unhideWhenUsed/>
    <w:rsid w:val="003062E4"/>
    <w:pPr>
      <w:widowControl/>
      <w:autoSpaceDE/>
      <w:autoSpaceDN/>
      <w:spacing w:after="160"/>
    </w:pPr>
    <w:rPr>
      <w:rFonts w:eastAsiaTheme="minorHAnsi" w:cstheme="minorBidi"/>
      <w:b/>
      <w:bCs/>
    </w:rPr>
  </w:style>
  <w:style w:type="character" w:customStyle="1" w:styleId="CommentSubjectChar">
    <w:name w:val="Comment Subject Char"/>
    <w:basedOn w:val="CommentTextChar"/>
    <w:link w:val="CommentSubject"/>
    <w:uiPriority w:val="99"/>
    <w:semiHidden/>
    <w:rsid w:val="003062E4"/>
    <w:rPr>
      <w:rFonts w:ascii="Times New Roman" w:eastAsia="Times New Roman" w:hAnsi="Times New Roman" w:cs="Times New Roman"/>
      <w:b/>
      <w:bCs/>
      <w:kern w:val="0"/>
      <w:sz w:val="20"/>
      <w:szCs w:val="20"/>
      <w14:ligatures w14:val="none"/>
    </w:rPr>
  </w:style>
  <w:style w:type="paragraph" w:styleId="NormalWeb">
    <w:name w:val="Normal (Web)"/>
    <w:basedOn w:val="Normal"/>
    <w:uiPriority w:val="99"/>
    <w:semiHidden/>
    <w:unhideWhenUsed/>
    <w:rsid w:val="0043373C"/>
    <w:rPr>
      <w:rFonts w:cs="Times New Roman"/>
      <w:szCs w:val="24"/>
    </w:rPr>
  </w:style>
  <w:style w:type="numbering" w:customStyle="1" w:styleId="NoList1">
    <w:name w:val="No List1"/>
    <w:next w:val="NoList"/>
    <w:uiPriority w:val="99"/>
    <w:semiHidden/>
    <w:unhideWhenUsed/>
    <w:rsid w:val="005D0392"/>
  </w:style>
  <w:style w:type="paragraph" w:customStyle="1" w:styleId="xl66">
    <w:name w:val="xl66"/>
    <w:basedOn w:val="Normal"/>
    <w:rsid w:val="005D0392"/>
    <w:pPr>
      <w:shd w:val="clear" w:color="000000" w:fill="FFFFFF"/>
      <w:spacing w:before="100" w:beforeAutospacing="1" w:after="100" w:afterAutospacing="1" w:line="240" w:lineRule="auto"/>
    </w:pPr>
    <w:rPr>
      <w:rFonts w:eastAsia="Times New Roman" w:cs="Times New Roman"/>
      <w:szCs w:val="24"/>
    </w:rPr>
  </w:style>
  <w:style w:type="paragraph" w:customStyle="1" w:styleId="xl67">
    <w:name w:val="xl67"/>
    <w:basedOn w:val="Normal"/>
    <w:rsid w:val="005D0392"/>
    <w:pPr>
      <w:shd w:val="clear" w:color="000000" w:fill="FFFFFF"/>
      <w:spacing w:before="100" w:beforeAutospacing="1" w:after="100" w:afterAutospacing="1" w:line="240" w:lineRule="auto"/>
      <w:jc w:val="right"/>
    </w:pPr>
    <w:rPr>
      <w:rFonts w:eastAsia="Times New Roman" w:cs="Times New Roman"/>
      <w:szCs w:val="24"/>
    </w:rPr>
  </w:style>
  <w:style w:type="paragraph" w:customStyle="1" w:styleId="xl68">
    <w:name w:val="xl68"/>
    <w:basedOn w:val="Normal"/>
    <w:rsid w:val="005D0392"/>
    <w:pPr>
      <w:pBdr>
        <w:top w:val="single" w:sz="4" w:space="0" w:color="auto"/>
        <w:bottom w:val="single" w:sz="4" w:space="0" w:color="auto"/>
      </w:pBdr>
      <w:shd w:val="clear" w:color="000000" w:fill="FFFFFF"/>
      <w:spacing w:before="100" w:beforeAutospacing="1" w:after="100" w:afterAutospacing="1" w:line="240" w:lineRule="auto"/>
    </w:pPr>
    <w:rPr>
      <w:rFonts w:eastAsia="Times New Roman" w:cs="Times New Roman"/>
      <w:b/>
      <w:bCs/>
      <w:szCs w:val="24"/>
    </w:rPr>
  </w:style>
  <w:style w:type="paragraph" w:customStyle="1" w:styleId="xl69">
    <w:name w:val="xl69"/>
    <w:basedOn w:val="Normal"/>
    <w:rsid w:val="005D0392"/>
    <w:pPr>
      <w:pBdr>
        <w:top w:val="single" w:sz="4" w:space="0" w:color="auto"/>
        <w:bottom w:val="single" w:sz="4" w:space="0" w:color="auto"/>
      </w:pBdr>
      <w:shd w:val="clear" w:color="000000" w:fill="FFFFFF"/>
      <w:spacing w:before="100" w:beforeAutospacing="1" w:after="100" w:afterAutospacing="1" w:line="240" w:lineRule="auto"/>
      <w:jc w:val="right"/>
    </w:pPr>
    <w:rPr>
      <w:rFonts w:eastAsia="Times New Roman" w:cs="Times New Roman"/>
      <w:b/>
      <w:bCs/>
      <w:szCs w:val="24"/>
    </w:rPr>
  </w:style>
  <w:style w:type="paragraph" w:customStyle="1" w:styleId="xl70">
    <w:name w:val="xl70"/>
    <w:basedOn w:val="Normal"/>
    <w:rsid w:val="005D0392"/>
    <w:pPr>
      <w:pBdr>
        <w:bottom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71">
    <w:name w:val="xl71"/>
    <w:basedOn w:val="Normal"/>
    <w:rsid w:val="005D0392"/>
    <w:pPr>
      <w:pBdr>
        <w:bottom w:val="single" w:sz="4" w:space="0" w:color="auto"/>
      </w:pBdr>
      <w:shd w:val="clear" w:color="000000" w:fill="FFFFFF"/>
      <w:spacing w:before="100" w:beforeAutospacing="1" w:after="100" w:afterAutospacing="1" w:line="240" w:lineRule="auto"/>
      <w:jc w:val="right"/>
    </w:pPr>
    <w:rPr>
      <w:rFonts w:eastAsia="Times New Roman" w:cs="Times New Roman"/>
      <w:szCs w:val="24"/>
    </w:rPr>
  </w:style>
  <w:style w:type="paragraph" w:styleId="Revision">
    <w:name w:val="Revision"/>
    <w:hidden/>
    <w:uiPriority w:val="99"/>
    <w:semiHidden/>
    <w:rsid w:val="0009208B"/>
    <w:pPr>
      <w:spacing w:after="0" w:line="240" w:lineRule="auto"/>
    </w:pPr>
    <w:rPr>
      <w:rFonts w:ascii="Times New Roman" w:hAnsi="Times New Roman"/>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679787">
      <w:bodyDiv w:val="1"/>
      <w:marLeft w:val="0"/>
      <w:marRight w:val="0"/>
      <w:marTop w:val="0"/>
      <w:marBottom w:val="0"/>
      <w:divBdr>
        <w:top w:val="none" w:sz="0" w:space="0" w:color="auto"/>
        <w:left w:val="none" w:sz="0" w:space="0" w:color="auto"/>
        <w:bottom w:val="none" w:sz="0" w:space="0" w:color="auto"/>
        <w:right w:val="none" w:sz="0" w:space="0" w:color="auto"/>
      </w:divBdr>
    </w:div>
    <w:div w:id="451481008">
      <w:bodyDiv w:val="1"/>
      <w:marLeft w:val="0"/>
      <w:marRight w:val="0"/>
      <w:marTop w:val="0"/>
      <w:marBottom w:val="0"/>
      <w:divBdr>
        <w:top w:val="none" w:sz="0" w:space="0" w:color="auto"/>
        <w:left w:val="none" w:sz="0" w:space="0" w:color="auto"/>
        <w:bottom w:val="none" w:sz="0" w:space="0" w:color="auto"/>
        <w:right w:val="none" w:sz="0" w:space="0" w:color="auto"/>
      </w:divBdr>
    </w:div>
    <w:div w:id="530386123">
      <w:bodyDiv w:val="1"/>
      <w:marLeft w:val="0"/>
      <w:marRight w:val="0"/>
      <w:marTop w:val="0"/>
      <w:marBottom w:val="0"/>
      <w:divBdr>
        <w:top w:val="none" w:sz="0" w:space="0" w:color="auto"/>
        <w:left w:val="none" w:sz="0" w:space="0" w:color="auto"/>
        <w:bottom w:val="none" w:sz="0" w:space="0" w:color="auto"/>
        <w:right w:val="none" w:sz="0" w:space="0" w:color="auto"/>
      </w:divBdr>
    </w:div>
    <w:div w:id="862284993">
      <w:bodyDiv w:val="1"/>
      <w:marLeft w:val="0"/>
      <w:marRight w:val="0"/>
      <w:marTop w:val="0"/>
      <w:marBottom w:val="0"/>
      <w:divBdr>
        <w:top w:val="none" w:sz="0" w:space="0" w:color="auto"/>
        <w:left w:val="none" w:sz="0" w:space="0" w:color="auto"/>
        <w:bottom w:val="none" w:sz="0" w:space="0" w:color="auto"/>
        <w:right w:val="none" w:sz="0" w:space="0" w:color="auto"/>
      </w:divBdr>
    </w:div>
    <w:div w:id="1295988647">
      <w:bodyDiv w:val="1"/>
      <w:marLeft w:val="0"/>
      <w:marRight w:val="0"/>
      <w:marTop w:val="0"/>
      <w:marBottom w:val="0"/>
      <w:divBdr>
        <w:top w:val="none" w:sz="0" w:space="0" w:color="auto"/>
        <w:left w:val="none" w:sz="0" w:space="0" w:color="auto"/>
        <w:bottom w:val="none" w:sz="0" w:space="0" w:color="auto"/>
        <w:right w:val="none" w:sz="0" w:space="0" w:color="auto"/>
      </w:divBdr>
    </w:div>
    <w:div w:id="1429808849">
      <w:bodyDiv w:val="1"/>
      <w:marLeft w:val="0"/>
      <w:marRight w:val="0"/>
      <w:marTop w:val="0"/>
      <w:marBottom w:val="0"/>
      <w:divBdr>
        <w:top w:val="none" w:sz="0" w:space="0" w:color="auto"/>
        <w:left w:val="none" w:sz="0" w:space="0" w:color="auto"/>
        <w:bottom w:val="none" w:sz="0" w:space="0" w:color="auto"/>
        <w:right w:val="none" w:sz="0" w:space="0" w:color="auto"/>
      </w:divBdr>
    </w:div>
    <w:div w:id="1459907680">
      <w:bodyDiv w:val="1"/>
      <w:marLeft w:val="0"/>
      <w:marRight w:val="0"/>
      <w:marTop w:val="0"/>
      <w:marBottom w:val="0"/>
      <w:divBdr>
        <w:top w:val="none" w:sz="0" w:space="0" w:color="auto"/>
        <w:left w:val="none" w:sz="0" w:space="0" w:color="auto"/>
        <w:bottom w:val="none" w:sz="0" w:space="0" w:color="auto"/>
        <w:right w:val="none" w:sz="0" w:space="0" w:color="auto"/>
      </w:divBdr>
    </w:div>
    <w:div w:id="1666206778">
      <w:bodyDiv w:val="1"/>
      <w:marLeft w:val="0"/>
      <w:marRight w:val="0"/>
      <w:marTop w:val="0"/>
      <w:marBottom w:val="0"/>
      <w:divBdr>
        <w:top w:val="none" w:sz="0" w:space="0" w:color="auto"/>
        <w:left w:val="none" w:sz="0" w:space="0" w:color="auto"/>
        <w:bottom w:val="none" w:sz="0" w:space="0" w:color="auto"/>
        <w:right w:val="none" w:sz="0" w:space="0" w:color="auto"/>
      </w:divBdr>
    </w:div>
    <w:div w:id="1813785623">
      <w:bodyDiv w:val="1"/>
      <w:marLeft w:val="0"/>
      <w:marRight w:val="0"/>
      <w:marTop w:val="0"/>
      <w:marBottom w:val="0"/>
      <w:divBdr>
        <w:top w:val="none" w:sz="0" w:space="0" w:color="auto"/>
        <w:left w:val="none" w:sz="0" w:space="0" w:color="auto"/>
        <w:bottom w:val="none" w:sz="0" w:space="0" w:color="auto"/>
        <w:right w:val="none" w:sz="0" w:space="0" w:color="auto"/>
      </w:divBdr>
    </w:div>
    <w:div w:id="2000842098">
      <w:bodyDiv w:val="1"/>
      <w:marLeft w:val="0"/>
      <w:marRight w:val="0"/>
      <w:marTop w:val="0"/>
      <w:marBottom w:val="0"/>
      <w:divBdr>
        <w:top w:val="none" w:sz="0" w:space="0" w:color="auto"/>
        <w:left w:val="none" w:sz="0" w:space="0" w:color="auto"/>
        <w:bottom w:val="none" w:sz="0" w:space="0" w:color="auto"/>
        <w:right w:val="none" w:sz="0" w:space="0" w:color="auto"/>
      </w:divBdr>
    </w:div>
    <w:div w:id="2061399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7.jpeg"/><Relationship Id="rId26" Type="http://schemas.openxmlformats.org/officeDocument/2006/relationships/hyperlink" Target="https://doi.org/10.3368/jhr.50.2.317" TargetMode="External"/><Relationship Id="rId21" Type="http://schemas.openxmlformats.org/officeDocument/2006/relationships/image" Target="media/image10.emf"/><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image" Target="media/image6.png"/><Relationship Id="rId25" Type="http://schemas.openxmlformats.org/officeDocument/2006/relationships/image" Target="media/image14.emf"/><Relationship Id="rId33" Type="http://schemas.openxmlformats.org/officeDocument/2006/relationships/footer" Target="footer1.xml"/><Relationship Id="rId38" Type="http://schemas.microsoft.com/office/2020/10/relationships/intelligence" Target="intelligence2.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emf"/><Relationship Id="rId29" Type="http://schemas.openxmlformats.org/officeDocument/2006/relationships/hyperlink" Target="https://doi.org/10.1007/s00181-020-01859-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emf"/><Relationship Id="rId32" Type="http://schemas.openxmlformats.org/officeDocument/2006/relationships/hyperlink" Target="https://doi.org/10.1007/s00181-012-0635-8"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microsoft.com/office/2018/08/relationships/commentsExtensible" Target="commentsExtensible.xml"/><Relationship Id="rId23" Type="http://schemas.openxmlformats.org/officeDocument/2006/relationships/image" Target="media/image12.emf"/><Relationship Id="rId28" Type="http://schemas.openxmlformats.org/officeDocument/2006/relationships/hyperlink" Target="https://doi.org/10.1080/07474938.2018.1536099" TargetMode="External"/><Relationship Id="rId36" Type="http://schemas.microsoft.com/office/2011/relationships/people" Target="people.xml"/><Relationship Id="rId10" Type="http://schemas.openxmlformats.org/officeDocument/2006/relationships/image" Target="media/image3.jpeg"/><Relationship Id="rId19" Type="http://schemas.openxmlformats.org/officeDocument/2006/relationships/image" Target="media/image8.png"/><Relationship Id="rId31" Type="http://schemas.openxmlformats.org/officeDocument/2006/relationships/hyperlink" Target="https://doi.org/10.3390/jrfm17120565" TargetMode="External"/><Relationship Id="rId4" Type="http://schemas.openxmlformats.org/officeDocument/2006/relationships/settings" Target="settings.xml"/><Relationship Id="rId9" Type="http://schemas.openxmlformats.org/officeDocument/2006/relationships/image" Target="media/image2.png"/><Relationship Id="rId14" Type="http://schemas.microsoft.com/office/2016/09/relationships/commentsIds" Target="commentsIds.xml"/><Relationship Id="rId22" Type="http://schemas.openxmlformats.org/officeDocument/2006/relationships/image" Target="media/image11.emf"/><Relationship Id="rId27" Type="http://schemas.openxmlformats.org/officeDocument/2006/relationships/hyperlink" Target="http://www.jstor.org/stable/43772874" TargetMode="External"/><Relationship Id="rId30" Type="http://schemas.openxmlformats.org/officeDocument/2006/relationships/hyperlink" Target="https://doi.org/10.1515/snde-2022-0014" TargetMode="External"/><Relationship Id="rId35"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Times New Roman">
      <a:majorFont>
        <a:latin typeface="Times New Roman"/>
        <a:ea typeface=""/>
        <a:cs typeface="Times New Roman"/>
      </a:majorFont>
      <a:minorFont>
        <a:latin typeface="Times New Roman"/>
        <a:ea typeface=""/>
        <a:cs typeface="Times New Roma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075097-C03A-4CD7-8D06-A475AB0D35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685</TotalTime>
  <Pages>37</Pages>
  <Words>11301</Words>
  <Characters>70069</Characters>
  <Application>Microsoft Office Word</Application>
  <DocSecurity>0</DocSecurity>
  <Lines>2260</Lines>
  <Paragraphs>1768</Paragraphs>
  <ScaleCrop>false</ScaleCrop>
  <Company/>
  <LinksUpToDate>false</LinksUpToDate>
  <CharactersWithSpaces>79602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Jamel Saadaoui</dc:creator>
  <cp:keywords/>
  <dc:description/>
  <cp:lastModifiedBy>Eric Clower</cp:lastModifiedBy>
  <cp:revision>13</cp:revision>
  <cp:lastPrinted>2024-02-20T08:58:00Z</cp:lastPrinted>
  <dcterms:created xsi:type="dcterms:W3CDTF">2026-04-16T22:50:00Z</dcterms:created>
  <dcterms:modified xsi:type="dcterms:W3CDTF">2026-04-17T10:14:00Z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